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right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bidi/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  <w:rtl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  <w:rtl/>
                                </w:rPr>
                                <w:t xml:space="preserve">مترجم من الإنجليزية إلى العربية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  <w:rtl/>
                          </w:rPr>
                          <w:t xml:space="preserve">مترجم من الإنجليزية إلى العربية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E1FD86" w14:textId="77777777" w:rsidR="00857AE6" w:rsidRDefault="00857AE6" w:rsidP="00857AE6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  <w:bidi/>
      </w:pPr>
    </w:p>
    <w:p w14:paraId="69C7B1AD" w14:textId="77777777" w:rsidR="00857AE6" w:rsidRPr="00E867CC" w:rsidRDefault="00857AE6" w:rsidP="00857AE6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lang w:bidi="ar-IQ"/>
          <w:rtl/>
        </w:rPr>
        <w:bidi/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المقررات</w:t>
      </w:r>
    </w:p>
    <w:tbl>
      <w:tblPr>
        <w:tblW w:w="18694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1935"/>
        <w:gridCol w:w="2295"/>
        <w:gridCol w:w="2700"/>
        <w:gridCol w:w="1440"/>
        <w:gridCol w:w="2070"/>
        <w:gridCol w:w="6904"/>
      </w:tblGrid>
      <w:tr w:rsidR="00857AE6" w:rsidRPr="00B80B61" w14:paraId="4A2E128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2CF83C4D" w14:textId="08E6D40F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اسم الدورة التدريبية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: تنفسي</w:t>
            </w:r>
          </w:p>
        </w:tc>
      </w:tr>
      <w:tr w:rsidR="00857AE6" w:rsidRPr="00B80B61" w14:paraId="7C08EBEF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648922CD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079D1650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7D502B61" w14:textId="0BCBF0EA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دورة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شفرة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ميدريسب-41</w:t>
            </w:r>
          </w:p>
        </w:tc>
      </w:tr>
      <w:tr w:rsidR="00857AE6" w:rsidRPr="00B80B61" w14:paraId="79D680EC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306DA818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30C882EF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351CE6A1" w14:textId="4C4F2A9D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 xml:space="preserve">نصف السنة /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سنة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 xml:space="preserve">: الفصل الأول / السنة الرابعة</w:t>
            </w:r>
          </w:p>
        </w:tc>
      </w:tr>
      <w:tr w:rsidR="00857AE6" w:rsidRPr="00B80B61" w14:paraId="06CBD2B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1753D980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5A28D4B5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545EF6A4" w14:textId="77777777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د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وصف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 xml:space="preserve">تاريخ الإعداد: 1/3/2024</w:t>
            </w:r>
          </w:p>
        </w:tc>
      </w:tr>
      <w:tr w:rsidR="00857AE6" w:rsidRPr="00B80B61" w14:paraId="03FA8D55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6B750981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06459FAF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3E0CA5E9" w14:textId="12673F2D" w:rsidR="00857AE6" w:rsidRPr="00B80B61" w:rsidRDefault="00857AE6" w:rsidP="00857AE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  <w:bidi/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نماذج الحضور المتاحة</w:t>
            </w:r>
            <w:r>
              <w:rPr>
                <w:rFonts w:eastAsia="Calibri" w:cs="Times New Roman"/>
                <w:sz w:val="28"/>
                <w:szCs w:val="28"/>
                <w:rtl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rtl/>
              </w:rPr>
              <w:t>المادية (إلزامية) والافتراضية (التكميلية)</w:t>
            </w:r>
          </w:p>
        </w:tc>
      </w:tr>
      <w:tr w:rsidR="00857AE6" w:rsidRPr="00B80B61" w14:paraId="3306390D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380BAD5A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4FED8C8E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10C77C05" w14:textId="77777777" w:rsidR="00857AE6" w:rsidRPr="00B80B61" w:rsidRDefault="00857AE6" w:rsidP="00857AE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  <w:bidi/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المعتمدة (الإجمالي) / عدد الوحدات (الإجمالي)</w:t>
            </w:r>
          </w:p>
        </w:tc>
      </w:tr>
      <w:tr w:rsidR="00857AE6" w:rsidRPr="00B80B61" w14:paraId="27D7C3F5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6735FB06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1CEC1469" w14:textId="3FDC85DC" w:rsidR="00857AE6" w:rsidRPr="00B80B61" w:rsidRDefault="00D84C24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 xml:space="preserve">2 ساعة معتمدة/ الساعة: إجمالي 30 ساعة</w:t>
            </w:r>
          </w:p>
        </w:tc>
      </w:tr>
      <w:tr w:rsidR="00857AE6" w:rsidRPr="00B80B61" w14:paraId="646423E0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1B85503E" w14:textId="77777777" w:rsidR="00857AE6" w:rsidRPr="00B02F18" w:rsidRDefault="00857AE6" w:rsidP="00857AE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  <w:bidi/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مدير الدورة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 xml:space="preserve">أذكر كل شيء،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إذا كان هناك أكثر من اسم)</w:t>
            </w:r>
          </w:p>
        </w:tc>
      </w:tr>
      <w:tr w:rsidR="00857AE6" w:rsidRPr="00B80B61" w14:paraId="271E4451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70C141E8" w14:textId="4A352500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bidi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اسم: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حيدر عبدالحميد القراغولي</w:t>
            </w:r>
          </w:p>
          <w:p w14:paraId="410A52F3" w14:textId="79306845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بريد إلكتروني: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dr.haider.abdulhameed@nahrainuniv.edu.iq</w:t>
            </w:r>
          </w:p>
          <w:p w14:paraId="441CFCE2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71EFE38C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4F2FA593" w14:textId="77777777" w:rsidR="00857AE6" w:rsidRPr="00B80B61" w:rsidRDefault="00857AE6" w:rsidP="00857AE6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أهداف الدورة المعرفة</w:t>
            </w:r>
          </w:p>
        </w:tc>
      </w:tr>
      <w:tr w:rsidR="00857AE6" w:rsidRPr="00B80B61" w14:paraId="38639102" w14:textId="77777777" w:rsidTr="00890333">
        <w:tc>
          <w:tcPr>
            <w:tcW w:w="3285" w:type="dxa"/>
            <w:gridSpan w:val="3"/>
            <w:shd w:val="clear" w:color="auto" w:fill="auto"/>
          </w:tcPr>
          <w:p w14:paraId="1AF96853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  <w:rtl/>
              </w:rPr>
              <w:t>اهداف الدورة</w:t>
            </w: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9"/>
              <w:gridCol w:w="3210"/>
            </w:tblGrid>
            <w:tr w:rsidR="00857AE6" w:rsidRPr="00F220BE" w14:paraId="4508DAB6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</w:tcPr>
                <w:p w14:paraId="6D23F25F" w14:textId="07F8416D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bidi/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t xml:space="preserve">إظهار المعرفة في العلوم الأساسية المتعلقة بالجهاز التنفسي.</w:t>
                  </w:r>
                </w:p>
                <w:p w14:paraId="17160586" w14:textId="0380AD74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bidi/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t xml:space="preserve">اشرح علامات وأعراض التظاهرات التنفسية الشائعة من حيث المبادئ العلمية الأساسية لها.</w:t>
                  </w:r>
                </w:p>
                <w:p w14:paraId="42DEA572" w14:textId="47EC38E3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bidi/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t xml:space="preserve">شرح المبادئ العلمية لشكاوى الجهاز التنفسي الشائعة وأساليب التحقيق وانتقاد مدى ملاءمتها ونتائجها.</w:t>
                  </w:r>
                </w:p>
                <w:p w14:paraId="727DCFFE" w14:textId="43E66908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bidi/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</w:rPr>
                    <w:t xml:space="preserve">شرح المبادئ العلمية للطرق الشائعة لإدارة المرضى الذين يعانون من شكاوى الجهاز التنفسي.</w:t>
                  </w:r>
                </w:p>
                <w:p w14:paraId="5FA12B59" w14:textId="77777777" w:rsidR="00857AE6" w:rsidRPr="00F220BE" w:rsidRDefault="00857AE6" w:rsidP="00EA5FCF">
                  <w:pPr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  <w:lang w:bidi="ar-IQ"/>
                      <w:rtl/>
                    </w:rPr>
                    <w:bidi/>
                  </w:pPr>
                </w:p>
              </w:tc>
            </w:tr>
            <w:tr w:rsidR="00857AE6" w:rsidRPr="00A01D17" w14:paraId="4EE26595" w14:textId="77777777" w:rsidTr="00EA5FCF">
              <w:tc>
                <w:tcPr>
                  <w:tcW w:w="9899" w:type="dxa"/>
                  <w:gridSpan w:val="2"/>
                  <w:shd w:val="clear" w:color="auto" w:fill="BDD6EE"/>
                </w:tcPr>
                <w:p w14:paraId="7FBB48BD" w14:textId="77777777" w:rsidR="00857AE6" w:rsidRPr="00A01D17" w:rsidRDefault="00857AE6" w:rsidP="00EA5FCF">
                  <w:pPr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lang w:bidi="ar-IQ"/>
                      <w:rtl/>
                    </w:rPr>
                    <w:bidi/>
                  </w:pPr>
                  <w:r w:rsidRPr="00A01D17">
                    <w:rPr>
                      <w:rFonts w:ascii="Simplified Arabic" w:eastAsia="Calibri" w:hAnsi="Simplified Arabic" w:cs="Simplified Arabic" w:hint="cs"/>
                      <w:b/>
                      <w:sz w:val="22"/>
                      <w:szCs w:val="22"/>
                      <w:rtl/>
                    </w:rPr>
                    <w:t xml:space="preserve">مهارات</w:t>
                  </w:r>
                </w:p>
              </w:tc>
            </w:tr>
            <w:tr w:rsidR="00857AE6" w14:paraId="11F6AEDF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</w:tcPr>
                <w:p w14:paraId="5E5FE6C2" w14:textId="19097354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lastRenderedPageBreak/>
                    <w:t xml:space="preserve">تطبيق المعرفة المكتسبة لتحديد وتفسير العلامات والأعراض المرتبطة باضطرابات الجهاز التنفسي.</w:t>
                  </w:r>
                  <w:proofErr w:type="gramStart"/>
                  <w:proofErr w:type="gramEnd"/>
                </w:p>
                <w:p w14:paraId="20249451" w14:textId="0A2E7B41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 xml:space="preserve">الاستفادة من المبادئ العلمية لتحليل وتفسير تقنيات التصوير والتحقيق الشائعة الاستخدام في تشخيص أمراض الجهاز التنفسي.</w:t>
                  </w:r>
                </w:p>
                <w:p w14:paraId="365ABA39" w14:textId="05D482DC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 xml:space="preserve">تطوير مهارات التفكير النقدي لتقييم مدى ملاءمة تقنيات التحقيق وأساليب الإدارة للمرضى الذين يعانون من أمراض الجهاز التنفسي.</w:t>
                  </w:r>
                </w:p>
                <w:p w14:paraId="51A6EB88" w14:textId="7F6528DF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 xml:space="preserve">إظهار مهارات الاتصال الفعالة في شرح المبادئ العلمية المعقدة المتعلقة بأمراض الجهاز التنفسي للمرضى والزملاء.</w:t>
                  </w:r>
                </w:p>
                <w:p w14:paraId="0BA69D8C" w14:textId="77777777" w:rsidR="00857AE6" w:rsidRDefault="00857AE6" w:rsidP="00EA5FCF">
                  <w:pPr>
                    <w:ind w:left="1033" w:right="189" w:hanging="425"/>
                    <w:bidi/>
                  </w:pPr>
                </w:p>
              </w:tc>
            </w:tr>
            <w:tr w:rsidR="00857AE6" w:rsidRPr="00102675" w14:paraId="5FFA3FC0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</w:tcPr>
                <w:p w14:paraId="3F9F5E87" w14:textId="77777777" w:rsidR="00857AE6" w:rsidRPr="00102675" w:rsidRDefault="00857AE6" w:rsidP="00EA5FCF">
                  <w:pPr>
                    <w:ind w:left="1033" w:right="7188" w:hanging="425"/>
                    <w:rPr>
                      <w:rFonts w:ascii="Segoe UI" w:hAnsi="Segoe UI" w:cs="Segoe UI"/>
                      <w:color w:val="0D0D0D"/>
                      <w:rtl/>
                    </w:rPr>
                    <w:bidi/>
                  </w:pPr>
                </w:p>
              </w:tc>
            </w:tr>
            <w:tr w:rsidR="00857AE6" w:rsidRPr="00A01D17" w14:paraId="47448536" w14:textId="77777777" w:rsidTr="00EA5FCF">
              <w:tc>
                <w:tcPr>
                  <w:tcW w:w="9899" w:type="dxa"/>
                  <w:gridSpan w:val="2"/>
                  <w:shd w:val="clear" w:color="auto" w:fill="BDD6EE"/>
                </w:tcPr>
                <w:p w14:paraId="1E6C995F" w14:textId="77777777" w:rsidR="00857AE6" w:rsidRPr="00A01D17" w:rsidRDefault="00857AE6" w:rsidP="00EA5FCF">
                  <w:pPr>
                    <w:autoSpaceDE w:val="0"/>
                    <w:autoSpaceDN w:val="0"/>
                    <w:adjustRightInd w:val="0"/>
                    <w:ind w:left="1033" w:right="7584" w:hanging="425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lang w:bidi="ar-IQ"/>
                      <w:rtl/>
                    </w:rPr>
                    <w:bidi/>
                  </w:pPr>
                  <w:r>
                    <w:rPr>
                      <w:rFonts w:ascii="Simplified Arabic" w:eastAsia="Calibri" w:hAnsi="Simplified Arabic" w:cs="Simplified Arabic"/>
                      <w:b/>
                      <w:sz w:val="22"/>
                      <w:szCs w:val="22"/>
                      <w:rtl/>
                    </w:rPr>
                    <w:t>أخلاق مهنية</w:t>
                  </w:r>
                  <w:r w:rsidRPr="00A01D17">
                    <w:rPr>
                      <w:rFonts w:ascii="Simplified Arabic" w:eastAsia="Calibri" w:hAnsi="Simplified Arabic" w:cs="Simplified Arabic" w:hint="cs"/>
                      <w:b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</w:tr>
            <w:tr w:rsidR="00857AE6" w14:paraId="7240D56A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  <w:vAlign w:val="center"/>
                </w:tcPr>
                <w:p w14:paraId="2AB74F32" w14:textId="77777777" w:rsidR="00857AE6" w:rsidRPr="00F20D32" w:rsidRDefault="00857AE6" w:rsidP="00857AE6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right="189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>التمسك بالمعايير الأخلاقية في تطبيق تقنيات التشخيص والتحقيق، وضمان رفاهية المريض واستقلاليته.</w:t>
                  </w:r>
                </w:p>
                <w:p w14:paraId="5565FE30" w14:textId="4745BDD0" w:rsidR="00857AE6" w:rsidRPr="00F20D32" w:rsidRDefault="00857AE6" w:rsidP="00857AE6">
                  <w:pPr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>احترام سرية المريض وخصوصيته واستقلاليته في إدارة شكاوى الجهاز التنفسي.</w:t>
                  </w:r>
                  <w:proofErr w:type="gramStart"/>
                  <w:proofErr w:type="gramEnd"/>
                </w:p>
                <w:p w14:paraId="44D56D26" w14:textId="2082D400" w:rsidR="00857AE6" w:rsidRPr="00F20D32" w:rsidRDefault="00857AE6" w:rsidP="00857AE6">
                  <w:pPr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 xml:space="preserve">التعرف على التحيزات المحتملة ومعالجتها في تقييم وإدارة المرضى الذين يعانون من أمراض الجهاز التنفسي، مما يضمن الرعاية العادلة للجميع.</w:t>
                  </w:r>
                </w:p>
                <w:p w14:paraId="4AC9325B" w14:textId="77777777" w:rsidR="00857AE6" w:rsidRPr="00F20D32" w:rsidRDefault="00857AE6" w:rsidP="00857AE6">
                  <w:pPr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t>إظهار النزاهة والصدق في انتقاد تقنيات التحقيق وأساليب الإدارة، مع إعطاء الأولوية لرفاهية المريض قبل كل شيء.</w:t>
                  </w:r>
                </w:p>
                <w:p w14:paraId="239DA7F3" w14:textId="77777777" w:rsidR="00857AE6" w:rsidRPr="00F20D32" w:rsidRDefault="00857AE6" w:rsidP="00EA5FCF">
                  <w:p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608" w:right="189"/>
                    <w:rPr>
                      <w:rFonts w:ascii="Segoe UI" w:hAnsi="Segoe UI" w:cs="Segoe UI"/>
                      <w:color w:val="0D0D0D"/>
                      <w:sz w:val="24"/>
                      <w:szCs w:val="24"/>
                      <w:rtl/>
                    </w:rPr>
                    <w:bidi/>
                  </w:pPr>
                </w:p>
              </w:tc>
            </w:tr>
          </w:tbl>
          <w:p w14:paraId="3C482FEE" w14:textId="77777777" w:rsidR="00857AE6" w:rsidRPr="00EC7169" w:rsidRDefault="00857AE6" w:rsidP="00EA5FCF">
            <w:pPr>
              <w:autoSpaceDE w:val="0"/>
              <w:autoSpaceDN w:val="0"/>
              <w:adjustRightInd w:val="0"/>
              <w:ind w:left="457" w:right="7188" w:firstLine="283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  <w:rtl/>
              </w:rPr>
              <w:bidi/>
            </w:pPr>
          </w:p>
        </w:tc>
      </w:tr>
      <w:tr w:rsidR="00857AE6" w:rsidRPr="00B80B61" w14:paraId="5712728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5EBEC182" w14:textId="77777777" w:rsidR="00857AE6" w:rsidRPr="00B80B61" w:rsidRDefault="00857AE6" w:rsidP="00857AE6">
            <w:pPr>
              <w:numPr>
                <w:ilvl w:val="0"/>
                <w:numId w:val="1"/>
              </w:numPr>
              <w:ind w:right="2877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استراتيجيات التدريس والتعلم</w:t>
            </w:r>
          </w:p>
        </w:tc>
      </w:tr>
      <w:tr w:rsidR="00857AE6" w:rsidRPr="00B80B61" w14:paraId="2070F46F" w14:textId="77777777" w:rsidTr="00BC5F26">
        <w:trPr>
          <w:gridAfter w:val="1"/>
          <w:wAfter w:w="6904" w:type="dxa"/>
        </w:trPr>
        <w:tc>
          <w:tcPr>
            <w:tcW w:w="720" w:type="dxa"/>
            <w:shd w:val="clear" w:color="auto" w:fill="auto"/>
          </w:tcPr>
          <w:p w14:paraId="79C00712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  <w:rtl/>
              </w:rPr>
              <w:t>إستراتيجية</w:t>
            </w:r>
          </w:p>
        </w:tc>
        <w:tc>
          <w:tcPr>
            <w:tcW w:w="11070" w:type="dxa"/>
            <w:gridSpan w:val="6"/>
            <w:shd w:val="clear" w:color="auto" w:fill="auto"/>
          </w:tcPr>
          <w:p w14:paraId="56DC2490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56739F39" w14:textId="77777777" w:rsidR="00857AE6" w:rsidRPr="00102675" w:rsidRDefault="00857AE6" w:rsidP="00EA5FCF">
            <w:pPr>
              <w:autoSpaceDE w:val="0"/>
              <w:autoSpaceDN w:val="0"/>
              <w:adjustRightInd w:val="0"/>
              <w:ind w:right="86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1. المحاضرات التفاعلية: الحضور الفعلي</w:t>
            </w:r>
          </w:p>
          <w:p w14:paraId="2CB031AA" w14:textId="77777777" w:rsidR="00857AE6" w:rsidRPr="00102675" w:rsidRDefault="00857AE6" w:rsidP="00EA5FCF">
            <w:pPr>
              <w:autoSpaceDE w:val="0"/>
              <w:autoSpaceDN w:val="0"/>
              <w:adjustRightInd w:val="0"/>
              <w:ind w:right="86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2. التعلم القائم على حل المشكلات (PBL): عبر Google Classroom</w:t>
            </w:r>
          </w:p>
          <w:p w14:paraId="7E6E0612" w14:textId="77777777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3. مناقشات المجموعة الصغيرة</w:t>
            </w:r>
          </w:p>
          <w:p w14:paraId="5DEBCD09" w14:textId="1D5654CB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4. ورش العمل العملية (الطلاب المختارون: اختياري)</w:t>
            </w:r>
          </w:p>
          <w:p w14:paraId="3A25ACB5" w14:textId="77777777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5. التعلم القائم على الحالة (CBL): مدمج ضمن المحاضرات</w:t>
            </w:r>
          </w:p>
          <w:p w14:paraId="525F7ECF" w14:textId="77777777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6. التعلم الموجه ذاتيا</w:t>
            </w:r>
          </w:p>
          <w:p w14:paraId="3490A9FC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7. استراتيجيات التقييم</w:t>
            </w:r>
          </w:p>
          <w:p w14:paraId="2CD5F9C5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1. التقييم المستمر:</w:t>
            </w:r>
          </w:p>
          <w:p w14:paraId="27DBD083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الاختبارات والواجبات العادية.</w:t>
            </w:r>
          </w:p>
          <w:p w14:paraId="36DAF22E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المشاركة في الجلسات التفاعلية.</w:t>
            </w:r>
          </w:p>
          <w:p w14:paraId="08899838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2. عروض الحالة:</w:t>
            </w:r>
          </w:p>
          <w:p w14:paraId="21A1571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يعرض الطلاب الحالات السريرية.</w:t>
            </w:r>
          </w:p>
          <w:p w14:paraId="4596D06B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التقييم على أساس التشخيص والإدارة.</w:t>
            </w:r>
          </w:p>
          <w:p w14:paraId="45C6622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3. المشاركة الجماعية:</w:t>
            </w:r>
          </w:p>
          <w:p w14:paraId="66B03E5E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المشاركة الفعالة في المناقشات الجماعية.</w:t>
            </w:r>
          </w:p>
          <w:p w14:paraId="125591F0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تشمل المعايير المساهمة والمشاركة.</w:t>
            </w:r>
          </w:p>
          <w:p w14:paraId="77CC6C5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4. تقييم المهارات:</w:t>
            </w:r>
          </w:p>
          <w:p w14:paraId="786542BC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التقييمات العملية للمهارات السريرية.</w:t>
            </w:r>
          </w:p>
          <w:p w14:paraId="5FBE0D52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تقييم الكفاءة في التدخلات.</w:t>
            </w:r>
          </w:p>
          <w:p w14:paraId="1911F9B4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5. تحليل الحالة:</w:t>
            </w:r>
          </w:p>
          <w:p w14:paraId="61A52BFB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تحليل دراسات الحالة المكتوبة أو الافتراضية.</w:t>
            </w:r>
          </w:p>
          <w:p w14:paraId="189521DD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التركيز على التفكير والإدارة السريرية.</w:t>
            </w:r>
          </w:p>
          <w:p w14:paraId="2C40E16B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6. التقييم الذاتي:</w:t>
            </w:r>
          </w:p>
          <w:p w14:paraId="5014A04F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اختبارات عبر الإنترنت وتمارين عاكسة.</w:t>
            </w:r>
          </w:p>
          <w:p w14:paraId="4256D9C1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يقوم الطلاب بتقييم الفهم وتحديد الأهداف.</w:t>
            </w:r>
          </w:p>
          <w:p w14:paraId="18EC9FE6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>7. الفحوصات الشاملة:</w:t>
            </w:r>
          </w:p>
          <w:p w14:paraId="48BF0BC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أسئلة MCQs في نهاية الدورة والمقايسات القائمة على الحالة.</w:t>
            </w:r>
          </w:p>
          <w:p w14:paraId="6433A73C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  <w:rtl/>
              </w:rPr>
              <w:t xml:space="preserve">- تقييم الفهم والتطبيق الشامل.</w:t>
            </w:r>
          </w:p>
          <w:p w14:paraId="2CA38FC0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19CE8242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2267D8B9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04F1F446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5134C458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705D5688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47CD9532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34E16752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46458B8E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7507AD76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429670C4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55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857AE6" w:rsidRPr="00B80B61" w14:paraId="3A8C84E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285E0903" w14:textId="77777777" w:rsidR="00857AE6" w:rsidRPr="00B80B61" w:rsidRDefault="00857AE6" w:rsidP="00857AE6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هيكل الدورة</w:t>
            </w:r>
          </w:p>
        </w:tc>
      </w:tr>
      <w:tr w:rsidR="00BC5F26" w:rsidRPr="00B80B61" w14:paraId="4BBFE460" w14:textId="77777777" w:rsidTr="00BC5F26">
        <w:trPr>
          <w:gridAfter w:val="1"/>
          <w:wAfter w:w="6904" w:type="dxa"/>
          <w:trHeight w:val="908"/>
        </w:trPr>
        <w:tc>
          <w:tcPr>
            <w:tcW w:w="720" w:type="dxa"/>
            <w:shd w:val="clear" w:color="auto" w:fill="BDD6EE"/>
          </w:tcPr>
          <w:p w14:paraId="3BD2FFA3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bidi/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630" w:type="dxa"/>
            <w:shd w:val="clear" w:color="auto" w:fill="BDD6EE"/>
          </w:tcPr>
          <w:p w14:paraId="28A5DDC4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bidi/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ساعات</w:t>
            </w:r>
          </w:p>
        </w:tc>
        <w:tc>
          <w:tcPr>
            <w:tcW w:w="4230" w:type="dxa"/>
            <w:gridSpan w:val="2"/>
            <w:shd w:val="clear" w:color="auto" w:fill="BDD6EE"/>
          </w:tcPr>
          <w:p w14:paraId="7E3981F7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bidi/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</w:t>
            </w:r>
          </w:p>
        </w:tc>
        <w:tc>
          <w:tcPr>
            <w:tcW w:w="2700" w:type="dxa"/>
            <w:shd w:val="clear" w:color="auto" w:fill="BDD6EE"/>
          </w:tcPr>
          <w:p w14:paraId="7F3BD1CB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bidi/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أو الموضوع</w:t>
            </w:r>
          </w:p>
        </w:tc>
        <w:tc>
          <w:tcPr>
            <w:tcW w:w="1440" w:type="dxa"/>
            <w:shd w:val="clear" w:color="auto" w:fill="BDD6EE"/>
          </w:tcPr>
          <w:p w14:paraId="34EC5CB2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التعلم</w:t>
            </w:r>
          </w:p>
        </w:tc>
        <w:tc>
          <w:tcPr>
            <w:tcW w:w="2070" w:type="dxa"/>
            <w:shd w:val="clear" w:color="auto" w:fill="BDD6EE"/>
          </w:tcPr>
          <w:p w14:paraId="6AACED8E" w14:textId="77777777" w:rsidR="00857AE6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bidi/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</w:t>
            </w:r>
          </w:p>
          <w:p w14:paraId="07225913" w14:textId="77777777" w:rsidR="00857AE6" w:rsidRPr="005854B9" w:rsidRDefault="00857AE6" w:rsidP="00EA5FCF">
            <w:pPr>
              <w:tabs>
                <w:tab w:val="left" w:pos="2490"/>
              </w:tabs>
              <w:ind w:right="-387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ab/>
            </w:r>
          </w:p>
        </w:tc>
      </w:tr>
      <w:tr w:rsidR="00AE34DD" w:rsidRPr="00C30BCF" w14:paraId="6950A64C" w14:textId="77777777" w:rsidTr="00BC5F26">
        <w:trPr>
          <w:gridAfter w:val="1"/>
          <w:wAfter w:w="6904" w:type="dxa"/>
          <w:cantSplit/>
          <w:trHeight w:val="1134"/>
        </w:trPr>
        <w:tc>
          <w:tcPr>
            <w:tcW w:w="720" w:type="dxa"/>
            <w:shd w:val="clear" w:color="auto" w:fill="FFFFFF" w:themeFill="background1"/>
          </w:tcPr>
          <w:p w14:paraId="1BA912BD" w14:textId="77777777" w:rsidR="006D775A" w:rsidRPr="00B80B61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14:paraId="4040AAA9" w14:textId="77777777" w:rsidR="006D775A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0BDFF29C" w14:textId="77777777" w:rsidR="006D775A" w:rsidRDefault="006D775A" w:rsidP="006D775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296AFCA7" w14:textId="77777777" w:rsidR="006D775A" w:rsidRPr="00D91BDE" w:rsidRDefault="006D775A" w:rsidP="006D775A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3FBB5E92" w14:textId="35CA9E0B" w:rsidR="006D775A" w:rsidRPr="001F5724" w:rsidRDefault="006D775A" w:rsidP="006D77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إظهار المعرفة بالتشريح الأساسي للجهاز التنفسي. تطبيق المعرفة بالأساس الفسيولوجي للتهوية وتبادل الغازات في تقييم شكوى المريض.</w:t>
            </w:r>
            <w:proofErr w:type="gramStart"/>
            <w:proofErr w:type="gramEnd"/>
          </w:p>
          <w:p w14:paraId="1227F004" w14:textId="77777777" w:rsidR="006D775A" w:rsidRPr="001F5724" w:rsidRDefault="006D775A" w:rsidP="006D77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 xml:space="preserve">اذكر آليات الدفاع عن الرئة</w:t>
            </w:r>
            <w:proofErr w:type="gramStart"/>
            <w:proofErr w:type="gramEnd"/>
          </w:p>
          <w:p w14:paraId="59E3B6DE" w14:textId="212F8F4A" w:rsidR="006D775A" w:rsidRPr="00623E87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 xml:space="preserve">التنبؤ بعواقب فشل آليات الدفاع لدفاعات الرئة</w:t>
            </w:r>
            <w:proofErr w:type="spellStart"/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0FEB3E10" w14:textId="20E89AE8" w:rsidR="006D775A" w:rsidRPr="00331BDB" w:rsidRDefault="005C50E5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A0549F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التشريح وعلم وظائف الأعضاء ذات الصلة سريريا للجهاز التنفسي</w:t>
            </w:r>
          </w:p>
        </w:tc>
        <w:tc>
          <w:tcPr>
            <w:tcW w:w="1440" w:type="dxa"/>
            <w:shd w:val="clear" w:color="auto" w:fill="FFFFFF" w:themeFill="background1"/>
          </w:tcPr>
          <w:p w14:paraId="4EB8B65E" w14:textId="1EAAB15F" w:rsidR="006D775A" w:rsidRPr="00331BDB" w:rsidRDefault="0035074B" w:rsidP="0035074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FFFFFF" w:themeFill="background1"/>
          </w:tcPr>
          <w:p w14:paraId="1F3903BA" w14:textId="77777777" w:rsidR="006D775A" w:rsidRPr="00C30BCF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296" w:hanging="101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AE34DD" w:rsidRPr="00C30BCF" w14:paraId="4BA14E5B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5608A67F" w14:textId="235EE0AB" w:rsidR="006D775A" w:rsidRPr="00B80B61" w:rsidRDefault="00BD77B1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14:paraId="24E83DC4" w14:textId="1384006F" w:rsidR="006D775A" w:rsidRPr="00C30BCF" w:rsidRDefault="00BD77B1" w:rsidP="006D775A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F2F1F0B" w14:textId="77777777" w:rsidR="00777DEF" w:rsidRPr="00D6038E" w:rsidRDefault="00777DEF" w:rsidP="00777DEF">
            <w:pPr>
              <w:jc w:val="right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تحليل شكوى المريض</w:t>
            </w:r>
            <w:proofErr w:type="gramStart"/>
            <w:proofErr w:type="gramEnd"/>
          </w:p>
          <w:p w14:paraId="2DC6CEC0" w14:textId="77777777" w:rsidR="00777DEF" w:rsidRPr="00D6038E" w:rsidRDefault="00777DEF" w:rsidP="00777DEF">
            <w:pPr>
              <w:jc w:val="right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بناء التشخيص التفريقي على أساس تلك الشكوى</w:t>
            </w:r>
            <w:proofErr w:type="gramStart"/>
            <w:proofErr w:type="gramEnd"/>
          </w:p>
          <w:p w14:paraId="3EF668DA" w14:textId="77777777" w:rsidR="00777DEF" w:rsidRPr="00D6038E" w:rsidRDefault="00777DEF" w:rsidP="00777DEF">
            <w:pPr>
              <w:jc w:val="right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تعرف على أسباب العلامات الجسدية المختلفة</w:t>
            </w:r>
            <w:proofErr w:type="gramStart"/>
            <w:proofErr w:type="gramEnd"/>
          </w:p>
          <w:p w14:paraId="5D0EBB90" w14:textId="0E214984" w:rsidR="006D775A" w:rsidRPr="00C30BCF" w:rsidRDefault="00777DEF" w:rsidP="00777DEF">
            <w:pPr>
              <w:shd w:val="clear" w:color="auto" w:fill="FFFFFF"/>
              <w:autoSpaceDE w:val="0"/>
              <w:autoSpaceDN w:val="0"/>
              <w:adjustRightInd w:val="0"/>
              <w:ind w:left="-126" w:right="88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تخطيط عملية التقييم وفقا للبيانات السريرية</w:t>
            </w:r>
          </w:p>
        </w:tc>
        <w:tc>
          <w:tcPr>
            <w:tcW w:w="2700" w:type="dxa"/>
            <w:shd w:val="clear" w:color="auto" w:fill="FFFFFF" w:themeFill="background1"/>
          </w:tcPr>
          <w:p w14:paraId="2CF143BC" w14:textId="77777777" w:rsidR="00E01DB0" w:rsidRPr="008C1420" w:rsidRDefault="00E01DB0" w:rsidP="00E01DB0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C1420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تقديم الشكاوى للمرضى الذين يعانون من أمراض الجهاز التنفسي</w:t>
            </w:r>
            <w:proofErr w:type="gramStart"/>
            <w:proofErr w:type="gramEnd"/>
          </w:p>
          <w:p w14:paraId="193E7821" w14:textId="3EC04828" w:rsidR="006D775A" w:rsidRPr="00331BDB" w:rsidRDefault="00E01DB0" w:rsidP="00E01DB0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8C1420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العلامات الجسدية لدى مرضى أمراض الجهاز التنفسي</w:t>
            </w:r>
          </w:p>
        </w:tc>
        <w:tc>
          <w:tcPr>
            <w:tcW w:w="1440" w:type="dxa"/>
            <w:shd w:val="clear" w:color="auto" w:fill="FFFFFF" w:themeFill="background1"/>
          </w:tcPr>
          <w:p w14:paraId="0C934449" w14:textId="77777777" w:rsidR="006D775A" w:rsidRPr="00331BDB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proofErr w:type="spellStart"/>
            <w:r w:rsidRPr="00331BDB">
              <w:rPr>
                <w:rFonts w:ascii="Cambria" w:eastAsia="Calibri" w:hAnsi="Cambria" w:cs="Times New Roman"/>
                <w:lang w:bidi="ar-IQ"/>
                <w:rtl/>
              </w:rPr>
              <w:t>محاضرة+PBL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08AF6423" w14:textId="77777777" w:rsidR="006D775A" w:rsidRPr="00C30BCF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AE34DD" w:rsidRPr="007C7E6D" w14:paraId="6E766772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  <w:vAlign w:val="center"/>
          </w:tcPr>
          <w:p w14:paraId="0647E961" w14:textId="18357716" w:rsidR="006D775A" w:rsidRPr="00B80B61" w:rsidRDefault="00BD77B1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14:paraId="0FD0EC6F" w14:textId="5E7DDB2F" w:rsidR="006D775A" w:rsidRPr="00C30BCF" w:rsidRDefault="009E12CA" w:rsidP="006D775A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71D76059" w14:textId="77777777" w:rsidR="00C93009" w:rsidRPr="00F22495" w:rsidRDefault="00C93009" w:rsidP="00C930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اختر الفحص الأنسب وفقًا للتجربة السريرية</w:t>
            </w:r>
            <w:proofErr w:type="gramStart"/>
            <w:proofErr w:type="gramEnd"/>
          </w:p>
          <w:p w14:paraId="6E9832DC" w14:textId="77777777" w:rsidR="00C93009" w:rsidRPr="00F22495" w:rsidRDefault="00C93009" w:rsidP="00C930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تحليل نتائج قياس التنفس</w:t>
            </w:r>
            <w:proofErr w:type="gramStart"/>
            <w:proofErr w:type="gramEnd"/>
          </w:p>
          <w:p w14:paraId="5FE41DED" w14:textId="77777777" w:rsidR="00C93009" w:rsidRPr="00F22495" w:rsidRDefault="00C93009" w:rsidP="00C930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بناء التشخيص التفريقي على أساس معايير اختبارات وظائف الرئة</w:t>
            </w:r>
            <w:proofErr w:type="gramStart"/>
            <w:proofErr w:type="gramEnd"/>
          </w:p>
          <w:p w14:paraId="6BCD1CC2" w14:textId="77777777" w:rsidR="006D775A" w:rsidRDefault="00C93009" w:rsidP="00C93009">
            <w:pPr>
              <w:shd w:val="clear" w:color="auto" w:fill="FFFFFF"/>
              <w:autoSpaceDE w:val="0"/>
              <w:autoSpaceDN w:val="0"/>
              <w:adjustRightInd w:val="0"/>
              <w:ind w:left="-126" w:right="230" w:firstLine="141"/>
              <w:jc w:val="both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التفريق بين أنواع أمراض الجهاز التنفسي بناء على نتائج تحليل غازات الدم الشرياني</w:t>
            </w:r>
            <w:proofErr w:type="gramStart"/>
            <w:proofErr w:type="gramEnd"/>
          </w:p>
          <w:p w14:paraId="36D5214F" w14:textId="77777777" w:rsidR="00100505" w:rsidRPr="00257F89" w:rsidRDefault="00100505" w:rsidP="0010050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تحليل نتيجة اختبار التمرين</w:t>
            </w:r>
            <w:proofErr w:type="gramStart"/>
            <w:proofErr w:type="gramEnd"/>
          </w:p>
          <w:p w14:paraId="296B9DA8" w14:textId="77777777" w:rsidR="00100505" w:rsidRPr="00257F89" w:rsidRDefault="00100505" w:rsidP="0010050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المصطلحات الإشعاعية المختلفة</w:t>
            </w:r>
            <w:proofErr w:type="gramStart"/>
            <w:proofErr w:type="gramEnd"/>
          </w:p>
          <w:p w14:paraId="208BF439" w14:textId="77777777" w:rsidR="00100505" w:rsidRPr="00257F89" w:rsidRDefault="00100505" w:rsidP="0010050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تفسير العلامات الإشعاعية</w:t>
            </w:r>
            <w:proofErr w:type="gramStart"/>
            <w:proofErr w:type="gramEnd"/>
          </w:p>
          <w:p w14:paraId="02E583DF" w14:textId="3424FF68" w:rsidR="00100505" w:rsidRPr="00C30BCF" w:rsidRDefault="00100505" w:rsidP="00100505">
            <w:pPr>
              <w:shd w:val="clear" w:color="auto" w:fill="FFFFFF"/>
              <w:autoSpaceDE w:val="0"/>
              <w:autoSpaceDN w:val="0"/>
              <w:adjustRightInd w:val="0"/>
              <w:ind w:left="-126" w:right="230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تقييم فوائد المرونة</w:t>
            </w:r>
          </w:p>
        </w:tc>
        <w:tc>
          <w:tcPr>
            <w:tcW w:w="2700" w:type="dxa"/>
            <w:shd w:val="clear" w:color="auto" w:fill="FFFFFF" w:themeFill="background1"/>
          </w:tcPr>
          <w:p w14:paraId="5BB60C8A" w14:textId="77777777" w:rsidR="00E762EB" w:rsidRPr="00532F86" w:rsidRDefault="00E762EB" w:rsidP="00E762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532F86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اختبارات وظائف الرئة</w:t>
            </w:r>
          </w:p>
          <w:p w14:paraId="3B64150F" w14:textId="77777777" w:rsidR="006D775A" w:rsidRDefault="00E762EB" w:rsidP="00E762E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532F86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تحليل غازات الدم الشرياني</w:t>
            </w:r>
          </w:p>
          <w:p w14:paraId="0988B233" w14:textId="77777777" w:rsidR="00BD5AF9" w:rsidRPr="00961D2F" w:rsidRDefault="00BD5AF9" w:rsidP="00BD5A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اختبار التمرين</w:t>
            </w:r>
            <w:proofErr w:type="gramStart"/>
            <w:proofErr w:type="gramEnd"/>
          </w:p>
          <w:p w14:paraId="5C290885" w14:textId="77777777" w:rsidR="00BD5AF9" w:rsidRPr="00961D2F" w:rsidRDefault="00BD5AF9" w:rsidP="00BD5A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أشعة الصدر</w:t>
            </w:r>
          </w:p>
          <w:p w14:paraId="3A00AF0B" w14:textId="2D38C6C9" w:rsidR="00BD5AF9" w:rsidRPr="00331BDB" w:rsidRDefault="00BD5AF9" w:rsidP="00BD5AF9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تنظير القصبات المرن</w:t>
            </w:r>
          </w:p>
        </w:tc>
        <w:tc>
          <w:tcPr>
            <w:tcW w:w="1440" w:type="dxa"/>
            <w:shd w:val="clear" w:color="auto" w:fill="FFFFFF" w:themeFill="background1"/>
          </w:tcPr>
          <w:p w14:paraId="47481935" w14:textId="77777777" w:rsidR="006D775A" w:rsidRPr="00331BDB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proofErr w:type="spellStart"/>
            <w:r>
              <w:rPr>
                <w:rFonts w:ascii="Cambria" w:eastAsia="Calibri" w:hAnsi="Cambria" w:cs="Times New Roman"/>
                <w:lang w:bidi="ar-IQ"/>
                <w:rtl/>
              </w:rPr>
              <w:t>محاضرة+مناقشة الحالة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33FBD96D" w14:textId="77777777" w:rsidR="006D775A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585" w:right="-296" w:hanging="720"/>
              <w:jc w:val="center"/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bidi/>
            </w:pPr>
            <w:r w:rsidRPr="007C7E6D"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t>إم سي كيو+</w:t>
            </w:r>
          </w:p>
          <w:p w14:paraId="5FD0F5E6" w14:textId="77777777" w:rsidR="006D775A" w:rsidRPr="007C7E6D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585" w:right="-296" w:hanging="720"/>
              <w:jc w:val="center"/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bidi/>
            </w:pPr>
            <w:r w:rsidRPr="007C7E6D"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t>التكوينية</w:t>
            </w:r>
          </w:p>
        </w:tc>
      </w:tr>
      <w:tr w:rsidR="00AE34DD" w:rsidRPr="00C30BCF" w14:paraId="3347360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4F6B7A06" w14:textId="69A43CEE" w:rsidR="006D775A" w:rsidRPr="00B80B61" w:rsidRDefault="009E12C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FFFFFF" w:themeFill="background1"/>
          </w:tcPr>
          <w:p w14:paraId="69350A86" w14:textId="18E16EA6" w:rsidR="006D775A" w:rsidRPr="00C30BCF" w:rsidRDefault="001D4E1C" w:rsidP="006D775A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FA76177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الأنواع المختلفة لالتهاب الأنف</w:t>
            </w:r>
            <w:proofErr w:type="gramStart"/>
            <w:proofErr w:type="gramEnd"/>
          </w:p>
          <w:p w14:paraId="7352DC7B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التمييز بين خيارات العلاج لكل نوع</w:t>
            </w:r>
            <w:proofErr w:type="gramStart"/>
            <w:proofErr w:type="gramEnd"/>
          </w:p>
          <w:p w14:paraId="4CE15B1C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تصنيف اضطرابات التنفس المرتبطة بالنوم</w:t>
            </w:r>
            <w:proofErr w:type="gramStart"/>
            <w:proofErr w:type="gramEnd"/>
          </w:p>
          <w:p w14:paraId="7C7127E5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التمييز بين انقطاع التنفس الانسدادي أثناء النوم والشخير البسيط</w:t>
            </w:r>
            <w:proofErr w:type="gramStart"/>
            <w:proofErr w:type="gramEnd"/>
          </w:p>
          <w:p w14:paraId="0333E6E2" w14:textId="1C147D85" w:rsidR="006D775A" w:rsidRPr="00C30BCF" w:rsidRDefault="00B352A0" w:rsidP="00B352A0">
            <w:pPr>
              <w:shd w:val="clear" w:color="auto" w:fill="FFFFFF"/>
              <w:autoSpaceDE w:val="0"/>
              <w:autoSpaceDN w:val="0"/>
              <w:adjustRightInd w:val="0"/>
              <w:ind w:left="-126" w:right="88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تفسير نتائج دراسة النوم</w:t>
            </w:r>
          </w:p>
        </w:tc>
        <w:tc>
          <w:tcPr>
            <w:tcW w:w="2700" w:type="dxa"/>
            <w:shd w:val="clear" w:color="auto" w:fill="FFFFFF" w:themeFill="background1"/>
          </w:tcPr>
          <w:p w14:paraId="0FE55B25" w14:textId="77777777" w:rsidR="00D91DB6" w:rsidRPr="00DF2A9F" w:rsidRDefault="00D91DB6" w:rsidP="00D9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F2A9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أمراض الشعب الهوائية العلوية:</w:t>
            </w:r>
          </w:p>
          <w:p w14:paraId="6CE64513" w14:textId="77777777" w:rsidR="00D91DB6" w:rsidRPr="00DF2A9F" w:rsidRDefault="00D91DB6" w:rsidP="00D9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F2A9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التهاب الأنف التحسسي</w:t>
            </w:r>
          </w:p>
          <w:p w14:paraId="792D2CFC" w14:textId="58F4D14D" w:rsidR="006D775A" w:rsidRPr="00331BDB" w:rsidRDefault="00D91DB6" w:rsidP="00D91DB6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DF2A9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- الاضطرابات المرتبطة بالنوم</w:t>
            </w:r>
          </w:p>
        </w:tc>
        <w:tc>
          <w:tcPr>
            <w:tcW w:w="1440" w:type="dxa"/>
            <w:shd w:val="clear" w:color="auto" w:fill="FFFFFF" w:themeFill="background1"/>
          </w:tcPr>
          <w:p w14:paraId="5523CB4A" w14:textId="77777777" w:rsidR="006D775A" w:rsidRPr="00331BDB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proofErr w:type="spellStart"/>
            <w:r>
              <w:rPr>
                <w:rFonts w:ascii="Cambria" w:eastAsia="Calibri" w:hAnsi="Cambria" w:cs="Times New Roman"/>
                <w:lang w:bidi="ar-IQ"/>
                <w:rtl/>
              </w:rPr>
              <w:t>محاضرة+نشاط صفي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593ABD82" w14:textId="77777777" w:rsidR="006D775A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697" w:right="-426" w:hanging="720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F20D32">
              <w:rPr>
                <w:rFonts w:ascii="Cambria" w:eastAsia="Calibri" w:hAnsi="Cambria" w:cs="Times New Roman"/>
                <w:lang w:bidi="ar-IQ"/>
                <w:rtl/>
              </w:rPr>
              <w:t>إم سي كيو+</w:t>
            </w:r>
          </w:p>
          <w:p w14:paraId="3D850615" w14:textId="77777777" w:rsidR="006D775A" w:rsidRPr="00F20D32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697" w:right="-426" w:hanging="720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F20D32">
              <w:rPr>
                <w:rFonts w:ascii="Cambria" w:eastAsia="Calibri" w:hAnsi="Cambria" w:cs="Times New Roman"/>
                <w:lang w:bidi="ar-IQ"/>
                <w:rtl/>
              </w:rPr>
              <w:t>التكوينية</w:t>
            </w:r>
          </w:p>
        </w:tc>
      </w:tr>
      <w:tr w:rsidR="00AE34DD" w:rsidRPr="00C30BCF" w14:paraId="7D2FD4B1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4DEFD786" w14:textId="44AD4DCD" w:rsidR="00132690" w:rsidRDefault="00230251" w:rsidP="0013269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4</w:t>
            </w:r>
          </w:p>
          <w:p w14:paraId="052BFFA2" w14:textId="77777777" w:rsidR="00132690" w:rsidRDefault="00132690" w:rsidP="00132690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03FA9610" w14:textId="3C1D84DD" w:rsidR="00132690" w:rsidRPr="00F655F7" w:rsidRDefault="00132690" w:rsidP="00132690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630" w:type="dxa"/>
            <w:shd w:val="clear" w:color="auto" w:fill="FFFFFF" w:themeFill="background1"/>
          </w:tcPr>
          <w:p w14:paraId="3F5B9DBC" w14:textId="70F93706" w:rsidR="00132690" w:rsidRPr="00C30BCF" w:rsidRDefault="006F36BE" w:rsidP="00132690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0456C53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التمييز بين الأنواع المختلفة من التهابات الجهاز التنفسي العلوي</w:t>
            </w:r>
            <w:proofErr w:type="gramStart"/>
            <w:proofErr w:type="gramEnd"/>
          </w:p>
          <w:p w14:paraId="0FD7CEB5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الحاجة إلى العلاج بالمضادات الحيوية في المرضى الذين يعانون من URTi</w:t>
            </w:r>
            <w:proofErr w:type="spellStart"/>
            <w:proofErr w:type="gramStart"/>
            <w:proofErr w:type="spellEnd"/>
            <w:proofErr w:type="gramEnd"/>
          </w:p>
          <w:p w14:paraId="6521AA6D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التهاب الشعب الهوائية</w:t>
            </w:r>
            <w:proofErr w:type="gramStart"/>
            <w:proofErr w:type="gramEnd"/>
          </w:p>
          <w:p w14:paraId="57940C09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الالتهاب الرئوي</w:t>
            </w:r>
            <w:proofErr w:type="gramStart"/>
            <w:proofErr w:type="gramEnd"/>
          </w:p>
          <w:p w14:paraId="659E997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التفريق بين الالتهاب الرئوي والتهاب الشعب الهوائية</w:t>
            </w:r>
            <w:proofErr w:type="gramStart"/>
            <w:proofErr w:type="gramEnd"/>
          </w:p>
          <w:p w14:paraId="1071A500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اذكر الأسباب المختلفة للالتهاب الرئوي</w:t>
            </w:r>
            <w:proofErr w:type="gramStart"/>
            <w:proofErr w:type="gramEnd"/>
          </w:p>
          <w:p w14:paraId="72D3AAC4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وصف المظاهر السريرية للالتهاب الرئوي</w:t>
            </w:r>
            <w:proofErr w:type="gramStart"/>
            <w:proofErr w:type="gramEnd"/>
          </w:p>
          <w:p w14:paraId="3D4B2321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إظهار المعرفة في الاختلافات بين المظاهر السريرية فيما يتعلق بالمسببات الميكروبيولوجية</w:t>
            </w:r>
            <w:proofErr w:type="gramStart"/>
            <w:proofErr w:type="gramEnd"/>
          </w:p>
          <w:p w14:paraId="068F81A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خطة لإدارة الالتهاب الرئوي</w:t>
            </w:r>
            <w:proofErr w:type="gramStart"/>
            <w:proofErr w:type="gramEnd"/>
          </w:p>
          <w:p w14:paraId="4A6CD2C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شدة الالتهاب الرئوي</w:t>
            </w:r>
          </w:p>
          <w:p w14:paraId="4BDE2B13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مضاعفات الالتهاب الرئوي</w:t>
            </w:r>
            <w:proofErr w:type="gramStart"/>
            <w:proofErr w:type="gramEnd"/>
          </w:p>
          <w:p w14:paraId="25276680" w14:textId="77777777" w:rsidR="00132690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اختيار خطة الإدارة المناسبة</w:t>
            </w:r>
            <w:proofErr w:type="gramStart"/>
            <w:proofErr w:type="gramEnd"/>
          </w:p>
          <w:p w14:paraId="7393F3DF" w14:textId="77777777" w:rsidR="00132690" w:rsidRPr="006456EA" w:rsidRDefault="00132690" w:rsidP="00132690">
            <w:pPr>
              <w:ind w:right="72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الاستعداد للتفريغ</w:t>
            </w:r>
            <w:proofErr w:type="gramStart"/>
            <w:proofErr w:type="gramEnd"/>
          </w:p>
          <w:p w14:paraId="0DFF94C5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الالتهاب الرئوي المكتسب من المستشفى</w:t>
            </w:r>
            <w:proofErr w:type="gramStart"/>
            <w:proofErr w:type="gramEnd"/>
          </w:p>
          <w:p w14:paraId="20FB0CA1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المظاهر السريرية للالتهاب الرئوي المكتسب في المستشفى</w:t>
            </w:r>
            <w:proofErr w:type="gramStart"/>
            <w:proofErr w:type="gramEnd"/>
          </w:p>
          <w:p w14:paraId="5A2045C4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اختيار العلاج المناسب للالتهاب الرئوي المكتسب من المستشفى</w:t>
            </w:r>
            <w:proofErr w:type="gramStart"/>
            <w:proofErr w:type="gramEnd"/>
          </w:p>
          <w:p w14:paraId="232162C5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التمييز بين المظاهر السريرية للالتهاب الرئوي المرتبط بجهاز التنفس الصناعي</w:t>
            </w:r>
            <w:proofErr w:type="gramStart"/>
            <w:proofErr w:type="gramEnd"/>
          </w:p>
          <w:p w14:paraId="52D6EEFD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اختر الفحوصات المناسبة للالتهاب الرئوي المرتبط بجهاز التنفس الصناعي</w:t>
            </w:r>
            <w:proofErr w:type="gramStart"/>
            <w:proofErr w:type="gramEnd"/>
          </w:p>
          <w:p w14:paraId="1A9B4E6F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اختر أفضل استراتيجية علاجية للالتهاب الرئوي المرتبط بجهاز التنفس الصناعي</w:t>
            </w:r>
            <w:proofErr w:type="gramStart"/>
            <w:proofErr w:type="gramEnd"/>
          </w:p>
          <w:p w14:paraId="531CA8BA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المظاهر السريرية للالتهاب الرئوي الطموح</w:t>
            </w:r>
            <w:proofErr w:type="gramStart"/>
            <w:proofErr w:type="gramEnd"/>
          </w:p>
          <w:p w14:paraId="0D81CE73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اختيار أفضل علاج للالتهاب الرئوي الاستنشاقي</w:t>
            </w:r>
            <w:proofErr w:type="gramStart"/>
            <w:proofErr w:type="gramEnd"/>
          </w:p>
          <w:p w14:paraId="47D9D450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خراج الرئة</w:t>
            </w:r>
            <w:proofErr w:type="gramStart"/>
            <w:proofErr w:type="gramEnd"/>
          </w:p>
          <w:p w14:paraId="0AB2E64B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تجميع التشخيص التفريقي لخراج الرئة</w:t>
            </w:r>
            <w:proofErr w:type="gramStart"/>
            <w:proofErr w:type="gramEnd"/>
          </w:p>
          <w:p w14:paraId="0C398DF0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التمييز بين خيارات العلاج لخراج الرئة</w:t>
            </w:r>
            <w:proofErr w:type="gramStart"/>
            <w:proofErr w:type="gramEnd"/>
          </w:p>
          <w:p w14:paraId="1706D6A1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الالتهابات الفطرية ذات الصلة سريريا في الرئة</w:t>
            </w:r>
            <w:proofErr w:type="gramStart"/>
            <w:proofErr w:type="gramEnd"/>
          </w:p>
          <w:p w14:paraId="7C6498EE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تصنيف أنواع داء الرشاشيات</w:t>
            </w:r>
            <w:proofErr w:type="gramStart"/>
            <w:proofErr w:type="gramEnd"/>
          </w:p>
          <w:p w14:paraId="3A4BD660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إظهار المعرفة في إدارة الأنواع الفرعية لداء الرشاشيات6</w:t>
            </w:r>
            <w:proofErr w:type="gramStart"/>
            <w:proofErr w:type="gramEnd"/>
          </w:p>
          <w:p w14:paraId="6C41F1D8" w14:textId="32410B2E" w:rsidR="00132690" w:rsidRPr="00C30BCF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left="-1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2700" w:type="dxa"/>
            <w:shd w:val="clear" w:color="auto" w:fill="FFFFFF" w:themeFill="background1"/>
          </w:tcPr>
          <w:p w14:paraId="6235A988" w14:textId="77777777" w:rsidR="005879DF" w:rsidRPr="004B5B81" w:rsidRDefault="005879DF" w:rsidP="005879DF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4B5B81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التهابات الجهاز التنفسي</w:t>
            </w:r>
          </w:p>
          <w:p w14:paraId="38E7D678" w14:textId="2EAA9C29" w:rsidR="00132690" w:rsidRPr="00331BDB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FFFFFF" w:themeFill="background1"/>
          </w:tcPr>
          <w:p w14:paraId="311B7BC2" w14:textId="77777777" w:rsidR="00132690" w:rsidRPr="00331BDB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FFFFFF" w:themeFill="background1"/>
          </w:tcPr>
          <w:p w14:paraId="066783DE" w14:textId="77777777" w:rsidR="00132690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left="720" w:right="-391" w:hanging="720"/>
              <w:jc w:val="both"/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bidi/>
            </w:pPr>
            <w:r w:rsidRPr="00F20D32"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t>إم سي كيو+</w:t>
            </w:r>
          </w:p>
          <w:p w14:paraId="4C3A8C94" w14:textId="77777777" w:rsidR="00132690" w:rsidRPr="00C30BCF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left="720" w:right="-391" w:hanging="720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F20D32">
              <w:rPr>
                <w:rFonts w:ascii="Cambria" w:eastAsia="Calibri" w:hAnsi="Cambria" w:cs="Times New Roman"/>
                <w:sz w:val="22"/>
                <w:szCs w:val="22"/>
                <w:lang w:bidi="ar-IQ"/>
                <w:rtl/>
              </w:rPr>
              <w:t>التكوينية</w:t>
            </w:r>
          </w:p>
        </w:tc>
      </w:tr>
      <w:tr w:rsidR="00AE34DD" w:rsidRPr="00C30BCF" w14:paraId="1CD87074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2EFF7CB8" w14:textId="44915611" w:rsidR="006F36BE" w:rsidRPr="00B80B61" w:rsidRDefault="00230251" w:rsidP="006F36B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14:paraId="1A606069" w14:textId="5BD54B4C" w:rsidR="006F36BE" w:rsidRPr="00C30BCF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B5158FA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مرض السل</w:t>
            </w:r>
            <w:proofErr w:type="gramStart"/>
            <w:proofErr w:type="gramEnd"/>
          </w:p>
          <w:p w14:paraId="3ACF3867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وبائيات مرض السل</w:t>
            </w:r>
            <w:proofErr w:type="gramStart"/>
            <w:proofErr w:type="gramEnd"/>
          </w:p>
          <w:p w14:paraId="3AB38921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تحليل عودة ظهور مرض السل</w:t>
            </w:r>
            <w:proofErr w:type="gramStart"/>
            <w:proofErr w:type="gramEnd"/>
          </w:p>
          <w:p w14:paraId="14A09C4B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مواقع الالتهابات السلية</w:t>
            </w:r>
            <w:proofErr w:type="gramStart"/>
            <w:proofErr w:type="gramEnd"/>
          </w:p>
          <w:p w14:paraId="7098B2E6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قارن بين العروض المختلفة لمرض السل</w:t>
            </w:r>
            <w:proofErr w:type="gramStart"/>
            <w:proofErr w:type="gramEnd"/>
          </w:p>
          <w:p w14:paraId="2D14109A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التشخيص التفريقي على أساس العروض السريرية</w:t>
            </w:r>
            <w:proofErr w:type="gramStart"/>
            <w:proofErr w:type="gramEnd"/>
          </w:p>
          <w:p w14:paraId="75CD9EE9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بناء خطة تشخيصية لمرض السل</w:t>
            </w:r>
            <w:proofErr w:type="gramStart"/>
            <w:proofErr w:type="gramEnd"/>
          </w:p>
          <w:p w14:paraId="6C564EF9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الاختبارات التشخيصية لمرض السل</w:t>
            </w:r>
            <w:proofErr w:type="gramStart"/>
            <w:proofErr w:type="gramEnd"/>
          </w:p>
          <w:p w14:paraId="462089E3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تحليل نتائج الاختبارات التشخيصية</w:t>
            </w:r>
            <w:proofErr w:type="gramStart"/>
            <w:proofErr w:type="gramEnd"/>
          </w:p>
          <w:p w14:paraId="6956A4CD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خطة علاجية لمرضى السل</w:t>
            </w:r>
            <w:proofErr w:type="gramStart"/>
            <w:proofErr w:type="gramEnd"/>
          </w:p>
          <w:p w14:paraId="3BFD366C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الآثار الجانبية للأدوية المضادة للسل</w:t>
            </w:r>
            <w:proofErr w:type="gramStart"/>
            <w:proofErr w:type="gramEnd"/>
          </w:p>
          <w:p w14:paraId="7C1DA0ED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ترتيب خطة المتابعة بعد العلاج</w:t>
            </w:r>
            <w:proofErr w:type="gramStart"/>
            <w:proofErr w:type="gramEnd"/>
          </w:p>
          <w:p w14:paraId="6B778AE2" w14:textId="17B3A02F" w:rsidR="006F36BE" w:rsidRPr="00C30BCF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-126" w:right="88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التعرف على مضاعفات مرض السل</w:t>
            </w:r>
          </w:p>
        </w:tc>
        <w:tc>
          <w:tcPr>
            <w:tcW w:w="2700" w:type="dxa"/>
            <w:shd w:val="clear" w:color="auto" w:fill="FFFFFF" w:themeFill="background1"/>
          </w:tcPr>
          <w:p w14:paraId="433C7085" w14:textId="77777777" w:rsidR="00116DFE" w:rsidRPr="00844772" w:rsidRDefault="00116DFE" w:rsidP="00116DFE">
            <w:pPr>
              <w:ind w:right="72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4772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التهابات الرئة السلية</w:t>
            </w:r>
          </w:p>
          <w:p w14:paraId="6417EF38" w14:textId="7F643B1B" w:rsidR="006F36BE" w:rsidRPr="00331BDB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FFFFFF" w:themeFill="background1"/>
          </w:tcPr>
          <w:p w14:paraId="05411F93" w14:textId="77777777" w:rsidR="006F36BE" w:rsidRPr="00331BDB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FFFFFF" w:themeFill="background1"/>
          </w:tcPr>
          <w:p w14:paraId="2E64F0EB" w14:textId="77777777" w:rsidR="006F36BE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إم سي كيو+</w:t>
            </w:r>
          </w:p>
          <w:p w14:paraId="717B28C8" w14:textId="77777777" w:rsidR="006F36BE" w:rsidRPr="00C30BCF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التكوينية</w:t>
            </w:r>
          </w:p>
        </w:tc>
      </w:tr>
      <w:tr w:rsidR="00BC5F26" w:rsidRPr="00C30BCF" w14:paraId="2E8BBDF6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4A66112E" w14:textId="0749C946" w:rsidR="00030184" w:rsidRDefault="00230251" w:rsidP="0003018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48ADF19E" w14:textId="05172209" w:rsidR="00030184" w:rsidRDefault="009920E8" w:rsidP="0003018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19E91C8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الكيس المائي</w:t>
            </w:r>
            <w:proofErr w:type="gramStart"/>
            <w:proofErr w:type="gramEnd"/>
          </w:p>
          <w:p w14:paraId="1B4B8617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المظاهر السريرية للكيس العداري</w:t>
            </w:r>
            <w:proofErr w:type="gramStart"/>
            <w:proofErr w:type="gramEnd"/>
          </w:p>
          <w:p w14:paraId="3B63F16E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تمييز الكيس العداري عن أمراض الرئة الكيسية الأخرى</w:t>
            </w:r>
            <w:proofErr w:type="gramStart"/>
            <w:proofErr w:type="gramEnd"/>
          </w:p>
          <w:p w14:paraId="0431D0F9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وصف الاختبارات التشخيصية للكيس العداري</w:t>
            </w:r>
            <w:proofErr w:type="gramStart"/>
            <w:proofErr w:type="gramEnd"/>
          </w:p>
          <w:p w14:paraId="062A82EE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إدارة مريض الكيس المائي</w:t>
            </w:r>
            <w:proofErr w:type="gramStart"/>
            <w:proofErr w:type="gramEnd"/>
          </w:p>
          <w:p w14:paraId="541B276B" w14:textId="27ED86DB" w:rsidR="00030184" w:rsidRPr="006B707C" w:rsidRDefault="00030184" w:rsidP="000301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إظهار المعرفة في المؤشرات</w:t>
            </w:r>
            <w:proofErr w:type="gramStart"/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  <w:rtl/>
              </w:rPr>
              <w:t xml:space="preserve"> </w:t>
            </w:r>
            <w:r w:rsidRPr="00B83D1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للاستئصال الجراحي</w:t>
            </w:r>
            <w:proofErr w:type="gramEnd"/>
          </w:p>
        </w:tc>
        <w:tc>
          <w:tcPr>
            <w:tcW w:w="2700" w:type="dxa"/>
            <w:shd w:val="clear" w:color="auto" w:fill="FFFFFF" w:themeFill="background1"/>
          </w:tcPr>
          <w:p w14:paraId="13ADC2EE" w14:textId="77777777" w:rsidR="00030184" w:rsidRPr="00236FF5" w:rsidRDefault="00030184" w:rsidP="00030184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236FF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 xml:space="preserve">مرض الرئة الطفيلي</w:t>
            </w:r>
          </w:p>
          <w:p w14:paraId="30C418BA" w14:textId="77777777" w:rsidR="00030184" w:rsidRPr="00844772" w:rsidRDefault="00030184" w:rsidP="00030184">
            <w:pPr>
              <w:ind w:right="72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FFFFFF" w:themeFill="background1"/>
          </w:tcPr>
          <w:p w14:paraId="6DF55DC7" w14:textId="1961958D" w:rsidR="00030184" w:rsidRDefault="00030184" w:rsidP="00030184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FFFFFF" w:themeFill="background1"/>
          </w:tcPr>
          <w:p w14:paraId="6041DCFF" w14:textId="12C5CE3D" w:rsidR="00030184" w:rsidRPr="005854B9" w:rsidRDefault="00030184" w:rsidP="0003018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مق</w:t>
            </w:r>
          </w:p>
          <w:p w14:paraId="791B7CB2" w14:textId="3C4A28EC" w:rsidR="00030184" w:rsidRPr="005854B9" w:rsidRDefault="00030184" w:rsidP="0003018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</w:p>
        </w:tc>
      </w:tr>
      <w:tr w:rsidR="00BC5F26" w:rsidRPr="00C30BCF" w14:paraId="3366AD67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7118BD16" w14:textId="0C1B81F3" w:rsidR="00E5427C" w:rsidRDefault="00230251" w:rsidP="00E5427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5D1AD892" w14:textId="0E26B25B" w:rsidR="00E5427C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E7E336F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أهمية كبت المناعة في أمراض الرئة.</w:t>
            </w:r>
            <w:proofErr w:type="gramStart"/>
            <w:proofErr w:type="gramEnd"/>
          </w:p>
          <w:p w14:paraId="4A8837D6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الأمراض المعدية المرتبطة بفيروس نقص المناعة البشرية</w:t>
            </w:r>
            <w:proofErr w:type="gramStart"/>
            <w:proofErr w:type="gramEnd"/>
          </w:p>
          <w:p w14:paraId="66D2F929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التفريق بين المسببات المختلفة</w:t>
            </w:r>
            <w:proofErr w:type="gramStart"/>
            <w:proofErr w:type="gramEnd"/>
          </w:p>
          <w:p w14:paraId="46AD93BA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خطة التشخيص</w:t>
            </w:r>
            <w:proofErr w:type="gramStart"/>
            <w:proofErr w:type="gramEnd"/>
          </w:p>
          <w:p w14:paraId="0C092DC0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الاختبارات التشخيصية للمتكيسة الرئوية جيروفيتشي</w:t>
            </w:r>
            <w:proofErr w:type="spellStart"/>
            <w:proofErr w:type="gramStart"/>
            <w:proofErr w:type="spellEnd"/>
            <w:proofErr w:type="gramEnd"/>
          </w:p>
          <w:p w14:paraId="572CD6CC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إدارة المرضى الذين يعانون من المكورات الرئوية jirovecii</w:t>
            </w:r>
            <w:proofErr w:type="gramStart"/>
            <w:proofErr w:type="gramEnd"/>
          </w:p>
          <w:p w14:paraId="6E3924DA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الاختلافات في عرض مريض السل بين الأفراد ذوي الكفاءة المناعية والأفراد الذين يعانون من ضعف المناعة</w:t>
            </w:r>
            <w:proofErr w:type="gramStart"/>
            <w:proofErr w:type="gramEnd"/>
          </w:p>
          <w:p w14:paraId="2147A9BF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ساركوما كابوزي</w:t>
            </w:r>
            <w:proofErr w:type="gramStart"/>
            <w:proofErr w:type="gramEnd"/>
          </w:p>
          <w:p w14:paraId="69F34250" w14:textId="5547C340" w:rsidR="00E5427C" w:rsidRPr="000E195D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التعرف على المظاهر السريرية لساركوما كابوزي</w:t>
            </w:r>
          </w:p>
        </w:tc>
        <w:tc>
          <w:tcPr>
            <w:tcW w:w="2700" w:type="dxa"/>
            <w:shd w:val="clear" w:color="auto" w:fill="FFFFFF" w:themeFill="background1"/>
          </w:tcPr>
          <w:p w14:paraId="3443D8C5" w14:textId="13D4DB06" w:rsidR="00E5427C" w:rsidRPr="00236FF5" w:rsidRDefault="006F5F0F" w:rsidP="00E5427C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A49D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>تورط الرئة في الأفراد الذين يعانون من ضعف المناعة</w:t>
            </w:r>
          </w:p>
        </w:tc>
        <w:tc>
          <w:tcPr>
            <w:tcW w:w="1440" w:type="dxa"/>
            <w:shd w:val="clear" w:color="auto" w:fill="FFFFFF" w:themeFill="background1"/>
          </w:tcPr>
          <w:p w14:paraId="29DFD203" w14:textId="258F51E0" w:rsidR="00E5427C" w:rsidRDefault="00230251" w:rsidP="00E5427C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FFFFFF" w:themeFill="background1"/>
          </w:tcPr>
          <w:p w14:paraId="165302DF" w14:textId="77777777" w:rsidR="00230251" w:rsidRPr="005854B9" w:rsidRDefault="00230251" w:rsidP="00230251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مق</w:t>
            </w:r>
          </w:p>
          <w:p w14:paraId="0A888BC5" w14:textId="77777777" w:rsidR="00E5427C" w:rsidRPr="005854B9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</w:p>
        </w:tc>
      </w:tr>
      <w:tr w:rsidR="00E5427C" w:rsidRPr="00C30BCF" w14:paraId="6CDB8F8D" w14:textId="77777777" w:rsidTr="00BC5F26">
        <w:trPr>
          <w:gridAfter w:val="1"/>
          <w:wAfter w:w="6904" w:type="dxa"/>
          <w:trHeight w:val="677"/>
        </w:trPr>
        <w:tc>
          <w:tcPr>
            <w:tcW w:w="11790" w:type="dxa"/>
            <w:gridSpan w:val="7"/>
            <w:shd w:val="clear" w:color="auto" w:fill="FFFFFF" w:themeFill="background1"/>
          </w:tcPr>
          <w:p w14:paraId="365EC5EB" w14:textId="77777777" w:rsidR="00E5427C" w:rsidRPr="00331BDB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331BDB">
              <w:rPr>
                <w:rFonts w:ascii="Cambria" w:eastAsia="Calibri" w:hAnsi="Cambria" w:cs="Times New Roman"/>
                <w:lang w:bidi="ar-IQ"/>
                <w:rtl/>
              </w:rPr>
              <w:t>الامتحانات النصفية</w:t>
            </w:r>
          </w:p>
        </w:tc>
      </w:tr>
      <w:tr w:rsidR="00E5427C" w:rsidRPr="00C30BCF" w14:paraId="0BCBC3A3" w14:textId="77777777" w:rsidTr="00BC5F26">
        <w:trPr>
          <w:gridAfter w:val="1"/>
          <w:wAfter w:w="6904" w:type="dxa"/>
          <w:trHeight w:val="677"/>
        </w:trPr>
        <w:tc>
          <w:tcPr>
            <w:tcW w:w="11790" w:type="dxa"/>
            <w:gridSpan w:val="7"/>
            <w:shd w:val="clear" w:color="auto" w:fill="FFFFFF" w:themeFill="background1"/>
          </w:tcPr>
          <w:p w14:paraId="2CFD484F" w14:textId="77777777" w:rsidR="00E5427C" w:rsidRPr="00331BDB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</w:tr>
      <w:tr w:rsidR="00BC5F26" w:rsidRPr="00C30BCF" w14:paraId="7F9D932C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3E1F037E" w14:textId="55D3E7E5" w:rsidR="00AE452B" w:rsidRPr="00B80B61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46D5C892" w14:textId="77777777" w:rsidR="00AE452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  <w:p w14:paraId="127C740A" w14:textId="77777777" w:rsidR="00AE452B" w:rsidRDefault="00AE452B" w:rsidP="00AE452B">
            <w:pPr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  <w:p w14:paraId="4B7C65CB" w14:textId="3056DF71" w:rsidR="00AE452B" w:rsidRPr="00D91BDE" w:rsidRDefault="00AE452B" w:rsidP="00AE452B">
            <w:pPr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20EC58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الأساس المناعي للربو</w:t>
            </w:r>
            <w:proofErr w:type="gramStart"/>
            <w:proofErr w:type="gramEnd"/>
          </w:p>
          <w:p w14:paraId="1217AC43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توضيح تأثير العوامل الخارجية والداخلية في التسبب في مرض الربو</w:t>
            </w:r>
            <w:proofErr w:type="gramStart"/>
            <w:proofErr w:type="gramEnd"/>
          </w:p>
          <w:p w14:paraId="313833F9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وبائيات الربو</w:t>
            </w:r>
            <w:proofErr w:type="gramStart"/>
            <w:proofErr w:type="gramEnd"/>
          </w:p>
          <w:p w14:paraId="542EA2AF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 </w:t>
            </w: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قارن بين المختلفة</w:t>
            </w:r>
          </w:p>
          <w:p w14:paraId="1C23FB81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إظهار القدرة على التعرف على المظاهر السريرية للربو</w:t>
            </w:r>
            <w:proofErr w:type="gramStart"/>
            <w:proofErr w:type="gramEnd"/>
          </w:p>
          <w:p w14:paraId="2B7434DE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ترتيب الاختبارات التشخيصية المقبولة</w:t>
            </w:r>
            <w:proofErr w:type="gramStart"/>
            <w:proofErr w:type="gramEnd"/>
          </w:p>
          <w:p w14:paraId="241CFA8C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تنظيم خطة علاجية لمريض الربو المزمن</w:t>
            </w:r>
            <w:proofErr w:type="gramStart"/>
            <w:proofErr w:type="gramEnd"/>
          </w:p>
          <w:p w14:paraId="06C494CB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استجابة المريض لأدوية الربو</w:t>
            </w:r>
            <w:proofErr w:type="gramStart"/>
            <w:proofErr w:type="gramEnd"/>
          </w:p>
          <w:p w14:paraId="3E8CF19C" w14:textId="77777777" w:rsidR="00AE452B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توصيل خيارات العلاج للمرضى ومعالجة مخاوفهم</w:t>
            </w:r>
            <w:proofErr w:type="gramStart"/>
            <w:proofErr w:type="gramEnd"/>
          </w:p>
          <w:p w14:paraId="401DBA8C" w14:textId="77777777" w:rsidR="00AE452B" w:rsidRPr="003E029B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3E029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التمييز بين المريض المصاب بالربو الحاد الشديد والربو الذي يهدد الحياة</w:t>
            </w:r>
            <w:proofErr w:type="gramStart"/>
            <w:proofErr w:type="gramEnd"/>
          </w:p>
          <w:p w14:paraId="6279B888" w14:textId="4F8A74A2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3E029B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قائمة خطوات العلاج في إدارة الربو الحاد الشديد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2A912DE" w14:textId="7DAB504F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69131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الربو</w:t>
            </w:r>
          </w:p>
        </w:tc>
        <w:tc>
          <w:tcPr>
            <w:tcW w:w="1440" w:type="dxa"/>
            <w:shd w:val="clear" w:color="auto" w:fill="auto"/>
          </w:tcPr>
          <w:p w14:paraId="5B45CA34" w14:textId="77777777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1F6B1AF6" w14:textId="77777777" w:rsidR="00AE452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إم سي كيو+</w:t>
            </w:r>
          </w:p>
          <w:p w14:paraId="6AF622AF" w14:textId="77777777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التكوينية</w:t>
            </w:r>
          </w:p>
        </w:tc>
      </w:tr>
      <w:tr w:rsidR="00BC5F26" w:rsidRPr="00C30BCF" w14:paraId="0FB3AE1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B240C13" w14:textId="5888BB80" w:rsidR="009620E4" w:rsidRPr="00B80B61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10F00FF2" w14:textId="3145570E" w:rsidR="009620E4" w:rsidRPr="00C30BCF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7F2B1F8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تعريف مرض الانسداد الرئوي المزمن</w:t>
            </w:r>
          </w:p>
          <w:p w14:paraId="74A25B7F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أسباب مرض الانسداد الرئوي المزمن</w:t>
            </w:r>
            <w:proofErr w:type="gramStart"/>
            <w:proofErr w:type="gramEnd"/>
          </w:p>
          <w:p w14:paraId="139D0044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توضيح العلاقة بين العوامل البيئية وتطور مرض الانسداد الرئوي المزمن</w:t>
            </w:r>
            <w:proofErr w:type="gramStart"/>
            <w:proofErr w:type="gramEnd"/>
          </w:p>
          <w:p w14:paraId="091FDE30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قارن بين الأنماط الظاهرية المختلفة لمرض الانسداد الرئوي المزمن</w:t>
            </w:r>
            <w:proofErr w:type="gramStart"/>
            <w:proofErr w:type="gramEnd"/>
          </w:p>
          <w:p w14:paraId="269B94BB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إظهار القدرة على التعرف على المظاهر السريرية لمرض الانسداد الرئوي المزمن</w:t>
            </w:r>
            <w:proofErr w:type="gramStart"/>
            <w:proofErr w:type="gramEnd"/>
          </w:p>
          <w:p w14:paraId="39A593BD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ترتيب اختبار تشخيصي مقبول</w:t>
            </w:r>
            <w:proofErr w:type="gramStart"/>
            <w:proofErr w:type="gramEnd"/>
          </w:p>
          <w:p w14:paraId="20219048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تنظيم خطة الإدارة للمريض المصاب بمرض الانسداد الرئوي المزمن</w:t>
            </w:r>
            <w:proofErr w:type="gramStart"/>
            <w:proofErr w:type="gramEnd"/>
          </w:p>
          <w:p w14:paraId="42A8CCBC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تقييم استجابة المريض لأدوية مرض الانسداد الرئوي المزمن</w:t>
            </w:r>
            <w:proofErr w:type="gramStart"/>
            <w:proofErr w:type="gramEnd"/>
          </w:p>
          <w:p w14:paraId="60C31313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توصيل خيارات العلاج للمرضى ومعالجة مخاوفهم</w:t>
            </w:r>
            <w:proofErr w:type="gramStart"/>
            <w:proofErr w:type="gramEnd"/>
          </w:p>
          <w:p w14:paraId="36BFA462" w14:textId="77777777" w:rsidR="009620E4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تمييز المريض مع التفاقم الحاد لمرض الانسداد الرئوي المزمن</w:t>
            </w:r>
            <w:proofErr w:type="gramStart"/>
            <w:proofErr w:type="gramEnd"/>
          </w:p>
          <w:p w14:paraId="3E721D86" w14:textId="71120D54" w:rsidR="009620E4" w:rsidRPr="00C30BCF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قائمة خطوات العلاج في إدارة التفاقم الحاد لمرض الانسداد الرئوي المزمن</w:t>
            </w:r>
          </w:p>
        </w:tc>
        <w:tc>
          <w:tcPr>
            <w:tcW w:w="2700" w:type="dxa"/>
            <w:shd w:val="clear" w:color="auto" w:fill="auto"/>
          </w:tcPr>
          <w:p w14:paraId="3AE370C7" w14:textId="0F22ADA3" w:rsidR="009620E4" w:rsidRPr="00331BDB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9620E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>مرض الانسداد الرئوي المزمن</w:t>
            </w:r>
          </w:p>
        </w:tc>
        <w:tc>
          <w:tcPr>
            <w:tcW w:w="1440" w:type="dxa"/>
            <w:shd w:val="clear" w:color="auto" w:fill="auto"/>
          </w:tcPr>
          <w:p w14:paraId="426A46A1" w14:textId="77777777" w:rsidR="009620E4" w:rsidRPr="00331BDB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02245B25" w14:textId="77777777" w:rsidR="009620E4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إم سي كيو+</w:t>
            </w:r>
          </w:p>
          <w:p w14:paraId="47C946F3" w14:textId="77777777" w:rsidR="009620E4" w:rsidRPr="00C30BCF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التكوينية</w:t>
            </w:r>
          </w:p>
        </w:tc>
      </w:tr>
      <w:tr w:rsidR="00BC5F26" w:rsidRPr="00C30BCF" w14:paraId="48264AD4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7B29D88E" w14:textId="6003967A" w:rsidR="00AE452B" w:rsidRPr="00B80B61" w:rsidRDefault="006C4582" w:rsidP="00AE45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0F65AEA2" w14:textId="77777777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9C266F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أسباب توسع القصبات</w:t>
            </w:r>
            <w:proofErr w:type="gramStart"/>
            <w:proofErr w:type="gramEnd"/>
          </w:p>
          <w:p w14:paraId="207B4D2A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تصنيف توسع القصبات وفقا للمسببات</w:t>
            </w:r>
            <w:proofErr w:type="gramStart"/>
            <w:proofErr w:type="gramEnd"/>
          </w:p>
          <w:p w14:paraId="354BF9C2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التشخيص التفريقي على أساس تاريخ المريض ونتائج الفحص</w:t>
            </w:r>
            <w:proofErr w:type="gramStart"/>
            <w:proofErr w:type="gramEnd"/>
          </w:p>
          <w:p w14:paraId="3EB9557A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اختيار الدراسات التشخيصية لتأكيد التشخيص</w:t>
            </w:r>
            <w:proofErr w:type="gramStart"/>
            <w:proofErr w:type="gramEnd"/>
          </w:p>
          <w:p w14:paraId="67110687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بناء خطة إدارة لتوسع القصبات التليف غير الكيسي</w:t>
            </w:r>
            <w:proofErr w:type="gramStart"/>
            <w:proofErr w:type="gramEnd"/>
          </w:p>
          <w:p w14:paraId="5A0BEF4E" w14:textId="133467C0" w:rsidR="00AE452B" w:rsidRPr="00C30BCF" w:rsidRDefault="006C4582" w:rsidP="006C4582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إدارة المريض المصاب بالتليف الكيسي</w:t>
            </w:r>
          </w:p>
        </w:tc>
        <w:tc>
          <w:tcPr>
            <w:tcW w:w="2700" w:type="dxa"/>
            <w:shd w:val="clear" w:color="auto" w:fill="auto"/>
          </w:tcPr>
          <w:p w14:paraId="03DD15C9" w14:textId="77777777" w:rsidR="005823BF" w:rsidRPr="00F560F0" w:rsidRDefault="005823BF" w:rsidP="005823BF">
            <w:pPr>
              <w:ind w:right="720"/>
              <w:rPr>
                <w:rFonts w:cs="Times New Roman"/>
                <w:b/>
                <w:bCs/>
                <w:sz w:val="24"/>
                <w:szCs w:val="24"/>
                <w:rtl/>
              </w:rPr>
              <w:bidi/>
            </w:pPr>
            <w:r w:rsidRPr="00F560F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توسع القصبات</w:t>
            </w:r>
          </w:p>
          <w:p w14:paraId="16E8601A" w14:textId="18D37931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</w:tcPr>
          <w:p w14:paraId="6BBB73F9" w14:textId="77777777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115D0FF2" w14:textId="4CB1AD22" w:rsidR="005823BF" w:rsidRPr="00C30BCF" w:rsidRDefault="00AE452B" w:rsidP="00BC5F2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مق</w:t>
            </w:r>
          </w:p>
          <w:p w14:paraId="3A396D63" w14:textId="0D9EA703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569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BC5F26" w:rsidRPr="00C30BCF" w14:paraId="0D2B7EC7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00117505" w14:textId="66A6C228" w:rsidR="00AE452B" w:rsidRPr="00B80B61" w:rsidRDefault="007463EA" w:rsidP="00AE45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38C2F7AA" w14:textId="22A2048F" w:rsidR="00AE452B" w:rsidRPr="00C30BCF" w:rsidRDefault="009532F2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B4B4EF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تحديد أمراض الرئة متني منتشر</w:t>
            </w:r>
            <w:proofErr w:type="gramStart"/>
            <w:proofErr w:type="gramEnd"/>
          </w:p>
          <w:p w14:paraId="0A8E038A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التسبب في DPLD</w:t>
            </w:r>
            <w:proofErr w:type="gramStart"/>
            <w:proofErr w:type="gramEnd"/>
          </w:p>
          <w:p w14:paraId="052A84A3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اذكر أسباب DPLD</w:t>
            </w:r>
            <w:proofErr w:type="gramStart"/>
            <w:proofErr w:type="gramEnd"/>
          </w:p>
          <w:p w14:paraId="4B2F259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تصنيف DPLD</w:t>
            </w:r>
          </w:p>
          <w:p w14:paraId="6AC1CECF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التفريق بين IPF والأسباب الأخرى لضيق التنفس</w:t>
            </w:r>
            <w:proofErr w:type="gramStart"/>
            <w:proofErr w:type="gramEnd"/>
          </w:p>
          <w:p w14:paraId="2827BF28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خطة تشخيصية لـ IPF المشتبه به</w:t>
            </w:r>
            <w:proofErr w:type="gramStart"/>
            <w:proofErr w:type="gramEnd"/>
          </w:p>
          <w:p w14:paraId="17DD20D9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إدارة مخاوف المرضى فيما يتعلق بـ IPF</w:t>
            </w:r>
            <w:proofErr w:type="gramStart"/>
            <w:proofErr w:type="gramEnd"/>
          </w:p>
          <w:p w14:paraId="1941EAF8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خيارات العلاج لـ IPF</w:t>
            </w:r>
            <w:proofErr w:type="gramStart"/>
            <w:proofErr w:type="gramEnd"/>
          </w:p>
          <w:p w14:paraId="10DFE02C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تحديد المرضى المعرضين لخطر HP</w:t>
            </w:r>
            <w:proofErr w:type="gramStart"/>
            <w:proofErr w:type="gramEnd"/>
          </w:p>
          <w:p w14:paraId="77A7B4AC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خطة النهج التشخيصي لشركة HP</w:t>
            </w:r>
            <w:proofErr w:type="gramStart"/>
            <w:proofErr w:type="gramEnd"/>
          </w:p>
          <w:p w14:paraId="77CB2FA1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مناقشة مبادئ إدارة HP</w:t>
            </w:r>
            <w:proofErr w:type="gramStart"/>
            <w:proofErr w:type="gramEnd"/>
          </w:p>
          <w:p w14:paraId="48EF2B2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مخاوف المرضى فيما يتعلق بعلاج HP</w:t>
            </w:r>
            <w:proofErr w:type="gramStart"/>
            <w:proofErr w:type="gramEnd"/>
          </w:p>
          <w:p w14:paraId="1A572DCB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قم بإدراج خيارات العلاج لـ HP</w:t>
            </w:r>
            <w:proofErr w:type="gramStart"/>
            <w:proofErr w:type="gramEnd"/>
          </w:p>
          <w:p w14:paraId="1D84882F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الساركويد</w:t>
            </w:r>
            <w:proofErr w:type="gramStart"/>
            <w:proofErr w:type="gramEnd"/>
          </w:p>
          <w:p w14:paraId="006938D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تحديد متلازمات الساركويد</w:t>
            </w:r>
            <w:proofErr w:type="gramStart"/>
            <w:proofErr w:type="gramEnd"/>
          </w:p>
          <w:p w14:paraId="5FB6215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تورط خارج الرئة في الساركويد</w:t>
            </w:r>
            <w:proofErr w:type="gramStart"/>
            <w:proofErr w:type="gramEnd"/>
          </w:p>
          <w:p w14:paraId="3D76DA01" w14:textId="6929D7E7" w:rsidR="00AE452B" w:rsidRPr="00C30BCF" w:rsidRDefault="007463EA" w:rsidP="007463EA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التفريق بين الساركويد الرئوي والسل الرئوي وسرطان الغدد الليمفاوية</w:t>
            </w:r>
          </w:p>
        </w:tc>
        <w:tc>
          <w:tcPr>
            <w:tcW w:w="2700" w:type="dxa"/>
            <w:shd w:val="clear" w:color="auto" w:fill="auto"/>
          </w:tcPr>
          <w:p w14:paraId="7753A010" w14:textId="77777777" w:rsidR="00E351FA" w:rsidRPr="007F7441" w:rsidRDefault="00E351FA" w:rsidP="00E351FA">
            <w:pPr>
              <w:ind w:right="72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7F7441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أمراض الرئة متني منتشر</w:t>
            </w:r>
          </w:p>
          <w:p w14:paraId="13962192" w14:textId="26E3417A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</w:tcPr>
          <w:p w14:paraId="0192A347" w14:textId="77777777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718E87F9" w14:textId="35484958" w:rsidR="00BC5F26" w:rsidRPr="00C30BCF" w:rsidRDefault="00AE452B" w:rsidP="00BC5F26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  <w:rtl/>
              </w:rPr>
              <w:t>مق</w:t>
            </w:r>
          </w:p>
          <w:p w14:paraId="0403499B" w14:textId="74CDC26F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BC5F26" w:rsidRPr="00C30BCF" w14:paraId="4E774DB1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8AB4600" w14:textId="717951A9" w:rsidR="00AE452B" w:rsidRPr="00B80B61" w:rsidRDefault="00AE34DD" w:rsidP="00AE45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3DA94032" w14:textId="563EA566" w:rsidR="00AE452B" w:rsidRPr="00C30BCF" w:rsidRDefault="00AE34DD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D46A592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اذكر أسباب الارتشاح الجنبي</w:t>
            </w:r>
            <w:proofErr w:type="gramStart"/>
            <w:proofErr w:type="gramEnd"/>
          </w:p>
          <w:p w14:paraId="3A4AA5A9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إظهار المعرفة بآليات تراكم السوائل</w:t>
            </w:r>
          </w:p>
          <w:p w14:paraId="5CC21325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المظاهر السريرية للانصباب الجنبي والسبب الكامن وراءه</w:t>
            </w:r>
            <w:proofErr w:type="gramStart"/>
            <w:proofErr w:type="gramEnd"/>
          </w:p>
          <w:p w14:paraId="1C65489D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ترتيب خطة تشخيصية لتأكيد وتحديد سبب الارتصباب الجنبي</w:t>
            </w:r>
            <w:proofErr w:type="gramStart"/>
            <w:proofErr w:type="gramEnd"/>
          </w:p>
          <w:p w14:paraId="749F5E2A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تحليل نتائج نضح السائل الجنبي وصياغة التشخيص التفريقي وفقا لذلك</w:t>
            </w:r>
            <w:proofErr w:type="gramStart"/>
            <w:proofErr w:type="gramEnd"/>
          </w:p>
          <w:p w14:paraId="58282C7C" w14:textId="20EC54C4" w:rsidR="00AE452B" w:rsidRPr="00C30BCF" w:rsidRDefault="00AE34DD" w:rsidP="00AE34DD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تنظيم استراتيجية العلاج للانصباب الجنبي</w:t>
            </w:r>
          </w:p>
        </w:tc>
        <w:tc>
          <w:tcPr>
            <w:tcW w:w="2700" w:type="dxa"/>
            <w:shd w:val="clear" w:color="auto" w:fill="auto"/>
          </w:tcPr>
          <w:p w14:paraId="183F84E4" w14:textId="15F44910" w:rsidR="00AE452B" w:rsidRPr="00C30BCF" w:rsidRDefault="00AE34DD" w:rsidP="00BC5F2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lastRenderedPageBreak/>
              <w:t>الانصباب الجنبي</w:t>
            </w:r>
          </w:p>
        </w:tc>
        <w:tc>
          <w:tcPr>
            <w:tcW w:w="1440" w:type="dxa"/>
            <w:shd w:val="clear" w:color="auto" w:fill="auto"/>
          </w:tcPr>
          <w:p w14:paraId="57D9CB42" w14:textId="77777777" w:rsidR="00AE452B" w:rsidRPr="00C30BCF" w:rsidRDefault="00AE452B" w:rsidP="00AE34D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AE452B" w:rsidRPr="005854B9" w14:paraId="10756066" w14:textId="77777777" w:rsidTr="00EA5FCF">
              <w:trPr>
                <w:trHeight w:val="181"/>
              </w:trPr>
              <w:tc>
                <w:tcPr>
                  <w:tcW w:w="1642" w:type="dxa"/>
                  <w:shd w:val="clear" w:color="auto" w:fill="FFFFFF" w:themeFill="background1"/>
                </w:tcPr>
                <w:p w14:paraId="5957982A" w14:textId="15ED866F" w:rsidR="00AE452B" w:rsidRPr="005854B9" w:rsidRDefault="00AE452B" w:rsidP="00AE45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 w:right="90" w:hanging="853"/>
                    <w:jc w:val="both"/>
                    <w:rPr>
                      <w:rFonts w:ascii="Cambria" w:eastAsia="Calibri" w:hAnsi="Cambria" w:cs="Times New Roman"/>
                      <w:sz w:val="24"/>
                      <w:szCs w:val="24"/>
                      <w:lang w:bidi="ar-IQ"/>
                      <w:rtl/>
                    </w:rPr>
                    <w:bidi/>
                  </w:pPr>
                  <w:r w:rsidRPr="005854B9">
                    <w:rPr>
                      <w:rFonts w:ascii="Cambria" w:eastAsia="Calibri" w:hAnsi="Cambria" w:cs="Times New Roman"/>
                      <w:sz w:val="24"/>
                      <w:szCs w:val="24"/>
                      <w:lang w:bidi="ar-IQ"/>
                      <w:rtl/>
                    </w:rPr>
                    <w:t>مق</w:t>
                  </w:r>
                </w:p>
              </w:tc>
            </w:tr>
          </w:tbl>
          <w:p w14:paraId="01FFD411" w14:textId="77777777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853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BC5F26" w:rsidRPr="00C30BCF" w14:paraId="1DE9A9DD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1EC5E03" w14:textId="6FC5040D" w:rsidR="004F6B5F" w:rsidRPr="00B80B61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73DF7A58" w14:textId="4E53F0BA" w:rsidR="004F6B5F" w:rsidRPr="00C30BCF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DF0B8D6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استرواح الصدر</w:t>
            </w:r>
            <w:proofErr w:type="gramStart"/>
            <w:proofErr w:type="gramEnd"/>
          </w:p>
          <w:p w14:paraId="56EFBE69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إظهار المعرفة بآلية استرواح الصدر</w:t>
            </w:r>
          </w:p>
          <w:p w14:paraId="4668A5B9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المظاهر السريرية لاسترواح الصدر</w:t>
            </w:r>
            <w:proofErr w:type="gramStart"/>
            <w:proofErr w:type="gramEnd"/>
          </w:p>
          <w:p w14:paraId="37AA9368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التفريق بين استرواح الصدر التوتري المهدد للحياة واسترواح الصدر البسيط</w:t>
            </w:r>
            <w:proofErr w:type="gramStart"/>
            <w:proofErr w:type="gramEnd"/>
          </w:p>
          <w:p w14:paraId="25E5D785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الحاجة إلى علاج استرواح الصدر التوتري</w:t>
            </w:r>
            <w:proofErr w:type="gramStart"/>
            <w:proofErr w:type="gramEnd"/>
          </w:p>
          <w:p w14:paraId="7D89E1E1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ترتيب الاختبارات التشخيصية لتأكيد التشخيص</w:t>
            </w:r>
            <w:proofErr w:type="gramStart"/>
            <w:proofErr w:type="gramEnd"/>
          </w:p>
          <w:p w14:paraId="2DAB6967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إدارة المريض المصاب باسترواح الصدر عن طريق أنبوب الصدر</w:t>
            </w:r>
            <w:proofErr w:type="gramStart"/>
            <w:proofErr w:type="gramEnd"/>
          </w:p>
          <w:p w14:paraId="23F76737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إظهار المعرفة في مؤشرات إدخال أنبوب الصدر</w:t>
            </w:r>
            <w:proofErr w:type="gramStart"/>
            <w:proofErr w:type="gramEnd"/>
          </w:p>
          <w:p w14:paraId="0753C827" w14:textId="653F77CE" w:rsidR="004F6B5F" w:rsidRPr="00C30BCF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left="-65" w:right="-54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تحليل وظيفة أنبوب الصدر</w:t>
            </w:r>
          </w:p>
        </w:tc>
        <w:tc>
          <w:tcPr>
            <w:tcW w:w="2700" w:type="dxa"/>
            <w:shd w:val="clear" w:color="auto" w:fill="auto"/>
          </w:tcPr>
          <w:p w14:paraId="34322F39" w14:textId="12B06052" w:rsidR="004F6B5F" w:rsidRPr="00C30BCF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left="-65" w:right="-54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استرواح الصدر</w:t>
            </w:r>
          </w:p>
        </w:tc>
        <w:tc>
          <w:tcPr>
            <w:tcW w:w="1440" w:type="dxa"/>
            <w:shd w:val="clear" w:color="auto" w:fill="auto"/>
          </w:tcPr>
          <w:p w14:paraId="044A7A3F" w14:textId="77777777" w:rsidR="004F6B5F" w:rsidRPr="00C30BCF" w:rsidRDefault="004F6B5F" w:rsidP="00C30B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384082E0" w14:textId="58D423C3" w:rsidR="004F6B5F" w:rsidRPr="00C30BCF" w:rsidRDefault="00C30B2A" w:rsidP="00C30B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BC5F26" w:rsidRPr="00C30BCF" w14:paraId="021BD16A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EDA2662" w14:textId="77777777" w:rsidR="00EC6911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282638A3" w14:textId="6B79DF57" w:rsidR="00EC6911" w:rsidRPr="00EC6911" w:rsidRDefault="00EC6911" w:rsidP="00EC6911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D578547" w14:textId="3D7A0CCF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5F190D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تصنيف أورام الرئة الأولية</w:t>
            </w:r>
            <w:proofErr w:type="gramStart"/>
            <w:proofErr w:type="gramEnd"/>
          </w:p>
          <w:p w14:paraId="7750D39F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الأسباب المسببة لأورام الرئة</w:t>
            </w:r>
            <w:proofErr w:type="gramStart"/>
            <w:proofErr w:type="gramEnd"/>
          </w:p>
          <w:p w14:paraId="72D37B09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تطبيق المعرفة في التعرف على المظاهر السريرية لأورام الرئة</w:t>
            </w:r>
            <w:proofErr w:type="gramStart"/>
            <w:proofErr w:type="gramEnd"/>
          </w:p>
          <w:p w14:paraId="36240746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صياغة خطة التقصي لتشخيص أورام الرئة</w:t>
            </w:r>
          </w:p>
          <w:p w14:paraId="1F37DDC6" w14:textId="77777777" w:rsidR="00EC6911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مواقع الأورام الأولية مع ورم خبيث متكرر في الرئة</w:t>
            </w:r>
            <w:proofErr w:type="gramStart"/>
            <w:proofErr w:type="gramEnd"/>
          </w:p>
          <w:p w14:paraId="3D43CA80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ترتيب خطة لرعاية المريض المصاب بورم في الرئة غير قابل للجراحة</w:t>
            </w:r>
            <w:proofErr w:type="spellStart"/>
            <w:proofErr w:type="spellEnd"/>
            <w:proofErr w:type="gramStart"/>
            <w:proofErr w:type="gramEnd"/>
          </w:p>
          <w:p w14:paraId="6CBC549B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مخاوف المريض بشأن التعامل مع تشخيص ورم الرئة</w:t>
            </w:r>
            <w:proofErr w:type="gramStart"/>
            <w:proofErr w:type="gramEnd"/>
          </w:p>
          <w:p w14:paraId="1006C2C9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ترتيب خطة التحقيقات لتحديد خيار العلاج المناسب.</w:t>
            </w:r>
            <w:proofErr w:type="gramStart"/>
            <w:proofErr w:type="gramEnd"/>
          </w:p>
          <w:p w14:paraId="6E6B51E3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موانع العلاج الجراحي لأورام الرئة</w:t>
            </w:r>
            <w:proofErr w:type="gramStart"/>
            <w:proofErr w:type="gramEnd"/>
          </w:p>
          <w:p w14:paraId="26316C80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الخيارات الجراحية لعلاج أورام الرئة</w:t>
            </w:r>
            <w:proofErr w:type="gramStart"/>
            <w:proofErr w:type="gramEnd"/>
          </w:p>
          <w:p w14:paraId="511C27DE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التنبؤ بمضاعفات ما بعد الجراحة بعد بضع الصدر</w:t>
            </w:r>
            <w:proofErr w:type="gramStart"/>
            <w:proofErr w:type="gramEnd"/>
          </w:p>
          <w:p w14:paraId="4032406C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إظهار المعرفة في إدارة مريض بضع الصدر بعد العملية الجراحية</w:t>
            </w:r>
            <w:proofErr w:type="gramStart"/>
            <w:proofErr w:type="gramEnd"/>
          </w:p>
          <w:p w14:paraId="62DE41BB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التعرف على المضاعفات المبكرة والمتأخرة لبضع الصدر وتوضيح خطة الإدارة الفورية لها.</w:t>
            </w:r>
          </w:p>
          <w:p w14:paraId="038C7C41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خيارات العلاج غير الجراحية</w:t>
            </w:r>
            <w:proofErr w:type="gramStart"/>
            <w:proofErr w:type="gramEnd"/>
          </w:p>
          <w:p w14:paraId="01A0DA40" w14:textId="77777777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2700" w:type="dxa"/>
            <w:shd w:val="clear" w:color="auto" w:fill="auto"/>
          </w:tcPr>
          <w:p w14:paraId="12E17A7B" w14:textId="3D1AC51F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lastRenderedPageBreak/>
              <w:t>أورام الرئة</w:t>
            </w:r>
          </w:p>
        </w:tc>
        <w:tc>
          <w:tcPr>
            <w:tcW w:w="1440" w:type="dxa"/>
            <w:shd w:val="clear" w:color="auto" w:fill="auto"/>
          </w:tcPr>
          <w:p w14:paraId="6F24811F" w14:textId="1C69623A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667A6FB1" w14:textId="0834A1C9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C86FF4" w:rsidRPr="00C30BCF" w14:paraId="0711A31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6FBA4113" w14:textId="0ABA28A0" w:rsidR="00C86FF4" w:rsidRPr="00B80B61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575F5ECD" w14:textId="00D26E80" w:rsidR="00C86FF4" w:rsidRPr="00C30BCF" w:rsidRDefault="009642A7" w:rsidP="00C86FF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C4CF3E" w14:textId="5A823C0D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EC022F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التعرف على مؤشرات الجراحة في أمراض الرئة الحميدة</w:t>
            </w:r>
          </w:p>
        </w:tc>
        <w:tc>
          <w:tcPr>
            <w:tcW w:w="2700" w:type="dxa"/>
            <w:shd w:val="clear" w:color="auto" w:fill="auto"/>
          </w:tcPr>
          <w:p w14:paraId="6CD4D08B" w14:textId="77777777" w:rsidR="00C86FF4" w:rsidRPr="00884DC0" w:rsidRDefault="00C86FF4" w:rsidP="00C86FF4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84DC0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الخيارات الجراحية لعلاج آفات الرئة الحميدة (خراج الرئة، السل، الدبيلة، توسع القصبات)</w:t>
            </w:r>
          </w:p>
          <w:p w14:paraId="194F3F2A" w14:textId="77777777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36E63C" w14:textId="7E3FE3A9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252B3EB6" w14:textId="5E0CFB9A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C86FF4" w:rsidRPr="00C30BCF" w14:paraId="436A438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118E4FA7" w14:textId="50E15E78" w:rsidR="00C86FF4" w:rsidRPr="00B80B61" w:rsidRDefault="009642A7" w:rsidP="009642A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1B926DBF" w14:textId="70F1F510" w:rsidR="00C86FF4" w:rsidRPr="00C30BCF" w:rsidRDefault="00BA73C5" w:rsidP="00C86FF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C1E845F" w14:textId="77777777" w:rsidR="00854F33" w:rsidRPr="006D2C33" w:rsidRDefault="00854F33" w:rsidP="00854F33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أمراض جدار الصدر</w:t>
            </w:r>
          </w:p>
          <w:p w14:paraId="29C8EF3A" w14:textId="77777777" w:rsidR="00854F33" w:rsidRPr="006D2C33" w:rsidRDefault="00854F33" w:rsidP="00854F33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المريض المصاب بأمراض جدار الصدر</w:t>
            </w:r>
            <w:proofErr w:type="gramStart"/>
            <w:proofErr w:type="gramEnd"/>
          </w:p>
          <w:p w14:paraId="5B88F514" w14:textId="1C8E5F30" w:rsidR="00C86FF4" w:rsidRPr="00C30BCF" w:rsidRDefault="00854F33" w:rsidP="00854F33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قائمة الخيارات الجراحية لعلاج تشوهات جدار الصدر</w:t>
            </w:r>
          </w:p>
        </w:tc>
        <w:tc>
          <w:tcPr>
            <w:tcW w:w="2700" w:type="dxa"/>
            <w:shd w:val="clear" w:color="auto" w:fill="auto"/>
          </w:tcPr>
          <w:p w14:paraId="60A0BFDF" w14:textId="77777777" w:rsidR="005C0CDB" w:rsidRPr="008B0888" w:rsidRDefault="005C0CDB" w:rsidP="005C0CDB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B0888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أمراض جدار الصدر</w:t>
            </w:r>
          </w:p>
          <w:p w14:paraId="302EDF0D" w14:textId="77777777" w:rsidR="00C86FF4" w:rsidRPr="00C30BCF" w:rsidRDefault="00C86FF4" w:rsidP="005C0CD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</w:tcPr>
          <w:p w14:paraId="112FC6F3" w14:textId="7221EC92" w:rsidR="00C86FF4" w:rsidRPr="00C30BCF" w:rsidRDefault="00520A4D" w:rsidP="00520A4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70F007DB" w14:textId="3184C8FE" w:rsidR="00C86FF4" w:rsidRPr="00C30BCF" w:rsidRDefault="00520A4D" w:rsidP="00520A4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EB7090" w:rsidRPr="00C30BCF" w14:paraId="4A51B8DA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32F0F05E" w14:textId="4FE3C165" w:rsidR="00EB7090" w:rsidRPr="00B80B61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60421379" w14:textId="6F7F1B67" w:rsidR="00EB7090" w:rsidRPr="00C30BCF" w:rsidRDefault="00BA73C5" w:rsidP="00EB7090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B79D12" w14:textId="77777777" w:rsidR="00EB7090" w:rsidRPr="0027372C" w:rsidRDefault="00EB7090" w:rsidP="00EB70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أمراض الحجاب الحاجز</w:t>
            </w:r>
          </w:p>
          <w:p w14:paraId="781185A4" w14:textId="77777777" w:rsidR="00EB7090" w:rsidRPr="0027372C" w:rsidRDefault="00EB7090" w:rsidP="00EB7090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المريض المصاب بأمراض الحجاب الحاجز</w:t>
            </w:r>
            <w:proofErr w:type="gramStart"/>
            <w:proofErr w:type="gramEnd"/>
          </w:p>
          <w:p w14:paraId="61F1F42D" w14:textId="5340D711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قائمة الخيارات الجراحية لعلاج فتق الحجاب الحاجز</w:t>
            </w:r>
          </w:p>
        </w:tc>
        <w:tc>
          <w:tcPr>
            <w:tcW w:w="2700" w:type="dxa"/>
            <w:shd w:val="clear" w:color="auto" w:fill="auto"/>
          </w:tcPr>
          <w:p w14:paraId="104B199C" w14:textId="77777777" w:rsidR="00EB7090" w:rsidRPr="0072462D" w:rsidRDefault="00EB7090" w:rsidP="00EB7090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72462D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أمراض الحجاب الحاجز</w:t>
            </w:r>
          </w:p>
          <w:p w14:paraId="1A315FC8" w14:textId="77777777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</w:tcPr>
          <w:p w14:paraId="733431AD" w14:textId="565E60D0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3462B8A1" w14:textId="1F78C1EE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697F28" w:rsidRPr="00C30BCF" w14:paraId="3A106D35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1FBCB072" w14:textId="2FD157FF" w:rsidR="00697F28" w:rsidRPr="00B80B61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24C9B7FE" w14:textId="0D29B046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163534" w14:textId="77777777" w:rsidR="00697F28" w:rsidRPr="00DA2BB1" w:rsidRDefault="00697F28" w:rsidP="00697F28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الحالات التي تتطلب زراعة الرئة كجزء من الإدارة</w:t>
            </w:r>
            <w:proofErr w:type="gramStart"/>
            <w:proofErr w:type="gramEnd"/>
          </w:p>
          <w:p w14:paraId="1903E761" w14:textId="77777777" w:rsidR="00697F28" w:rsidRPr="00DA2BB1" w:rsidRDefault="00697F28" w:rsidP="00697F28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اذكر أنواع زراعة الرئة</w:t>
            </w:r>
            <w:proofErr w:type="gramStart"/>
            <w:proofErr w:type="gramEnd"/>
          </w:p>
          <w:p w14:paraId="69A4560D" w14:textId="45D045C3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أذكر مضاعفات زرع الرئة</w:t>
            </w:r>
          </w:p>
        </w:tc>
        <w:tc>
          <w:tcPr>
            <w:tcW w:w="2700" w:type="dxa"/>
            <w:shd w:val="clear" w:color="auto" w:fill="auto"/>
          </w:tcPr>
          <w:p w14:paraId="6BD86EE6" w14:textId="77777777" w:rsidR="00697F28" w:rsidRPr="00B60641" w:rsidRDefault="00697F28" w:rsidP="00697F28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B60641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t>زراعة الرئة</w:t>
            </w:r>
          </w:p>
          <w:p w14:paraId="60861533" w14:textId="77777777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</w:tcPr>
          <w:p w14:paraId="12E835A0" w14:textId="08B9449D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715DE468" w14:textId="1A2E4EF2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E86EEC" w:rsidRPr="00C30BCF" w14:paraId="6CB77D54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19C92F15" w14:textId="02133FDA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561FFF0F" w14:textId="378547E4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lang w:bidi="ar-IQ"/>
                <w:rtl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07DB1A" w14:textId="77777777" w:rsidR="00E86EEC" w:rsidRPr="00846028" w:rsidRDefault="00E86EEC" w:rsidP="00E86EEC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تعريف فشل الجهاز التنفسي</w:t>
            </w:r>
            <w:proofErr w:type="gramStart"/>
            <w:proofErr w:type="gramEnd"/>
          </w:p>
          <w:p w14:paraId="7D6D54CD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أذكر أنواع فشل الجهاز التنفسي</w:t>
            </w:r>
            <w:proofErr w:type="gramStart"/>
            <w:proofErr w:type="gramEnd"/>
          </w:p>
          <w:p w14:paraId="665B2CF0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قارن بين الأنواع المختلفة لفشل الجهاز التنفسي</w:t>
            </w:r>
            <w:proofErr w:type="gramStart"/>
            <w:proofErr w:type="gramEnd"/>
          </w:p>
          <w:p w14:paraId="52D7E5C1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اذكر أسباب الجهاز التنفسي</w:t>
            </w:r>
            <w:proofErr w:type="gramStart"/>
            <w:proofErr w:type="gramEnd"/>
          </w:p>
          <w:p w14:paraId="3F95EC8A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وصف المظاهر السريرية لفشل الجهاز التنفسي</w:t>
            </w:r>
            <w:proofErr w:type="gramStart"/>
            <w:proofErr w:type="gramEnd"/>
          </w:p>
          <w:p w14:paraId="75A03249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وضع خطة تشخيصية لتقييم المريض الذي يعاني من فشل الجهاز التنفسي</w:t>
            </w:r>
            <w:proofErr w:type="gramStart"/>
            <w:proofErr w:type="gramEnd"/>
          </w:p>
          <w:p w14:paraId="1DB617A7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خيارات العلاج للأنواع المختلفة من فشل الجهاز التنفسي</w:t>
            </w:r>
            <w:proofErr w:type="gramStart"/>
            <w:proofErr w:type="gramEnd"/>
          </w:p>
          <w:p w14:paraId="6DB62254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استجابة المريض للعلاج الأولي</w:t>
            </w:r>
            <w:proofErr w:type="gramStart"/>
            <w:proofErr w:type="gramEnd"/>
          </w:p>
          <w:p w14:paraId="7F4FE759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معالجة مخاوف المرضى</w:t>
            </w:r>
            <w:proofErr w:type="gramStart"/>
            <w:proofErr w:type="gramEnd"/>
          </w:p>
          <w:p w14:paraId="376B44D5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تعريف متلازمة الضائقة التنفسية الحادة (ARDS).</w:t>
            </w:r>
          </w:p>
          <w:p w14:paraId="293C70D4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التعرف على الآلية المرضية لمتلازمة الضائقة التنفسية الحادة</w:t>
            </w:r>
            <w:proofErr w:type="gramStart"/>
            <w:proofErr w:type="gramEnd"/>
          </w:p>
          <w:p w14:paraId="0EC13981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lastRenderedPageBreak/>
              <w:t xml:space="preserve">اذكر أسباب متلازمة الضائقة التنفسية الحادة (ARDS).</w:t>
            </w:r>
            <w:proofErr w:type="gramStart"/>
            <w:proofErr w:type="gramEnd"/>
          </w:p>
          <w:p w14:paraId="25C7BE17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قارن ARDS بالوذمة الرئوية القلبية</w:t>
            </w:r>
            <w:proofErr w:type="gramStart"/>
            <w:proofErr w:type="gramEnd"/>
          </w:p>
          <w:p w14:paraId="7AD442FB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تقييم المظاهر السريرية التي تحدث مع متلازمة الضائقة التنفسية الحادة</w:t>
            </w:r>
            <w:proofErr w:type="gramStart"/>
            <w:proofErr w:type="gramEnd"/>
          </w:p>
          <w:p w14:paraId="3C1A9417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صياغة خطة تشخيصية لـ ARDS</w:t>
            </w:r>
            <w:proofErr w:type="gramStart"/>
            <w:proofErr w:type="gramEnd"/>
          </w:p>
          <w:p w14:paraId="62B00866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توقع نتائج ARDS</w:t>
            </w:r>
            <w:proofErr w:type="gramStart"/>
            <w:proofErr w:type="gramEnd"/>
          </w:p>
          <w:p w14:paraId="163F2D4A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تنظيم خطة علاجية لمتلازمة الضائقة التنفسية الحادة (ARDS).</w:t>
            </w:r>
            <w:proofErr w:type="gramStart"/>
            <w:proofErr w:type="gramEnd"/>
          </w:p>
          <w:p w14:paraId="10B92982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أجهزة توصيل الأوكسجين منخفض التدفق</w:t>
            </w:r>
            <w:proofErr w:type="gramStart"/>
            <w:proofErr w:type="gramEnd"/>
          </w:p>
          <w:p w14:paraId="2A7A077E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التمييز بين الحالات السريرية التي تحتاج إلى أجهزة توصيل منخفضة التدفق</w:t>
            </w:r>
            <w:proofErr w:type="gramStart"/>
            <w:proofErr w:type="gramEnd"/>
          </w:p>
          <w:p w14:paraId="267E2725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 xml:space="preserve">قائمة أجهزة توصيل الأوكسجين عالي التدفق</w:t>
            </w:r>
            <w:proofErr w:type="gramStart"/>
            <w:proofErr w:type="gramEnd"/>
          </w:p>
          <w:p w14:paraId="2488D8C3" w14:textId="50B07D06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  <w:rtl/>
              </w:rPr>
              <w:t>تحليل الظروف التي تتطلب أجهزة عالية التدفق</w:t>
            </w:r>
          </w:p>
        </w:tc>
        <w:tc>
          <w:tcPr>
            <w:tcW w:w="2700" w:type="dxa"/>
            <w:shd w:val="clear" w:color="auto" w:fill="auto"/>
          </w:tcPr>
          <w:p w14:paraId="30F08369" w14:textId="7A1848C1" w:rsidR="00E86EEC" w:rsidRPr="00C30BCF" w:rsidRDefault="004351F2" w:rsidP="004351F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 w:rsidRPr="00F16A5D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  <w:rtl/>
              </w:rPr>
              <w:lastRenderedPageBreak/>
              <w:t>الرعاية الحرجة في طب الجهاز التنفسي</w:t>
            </w:r>
          </w:p>
        </w:tc>
        <w:tc>
          <w:tcPr>
            <w:tcW w:w="1440" w:type="dxa"/>
            <w:shd w:val="clear" w:color="auto" w:fill="auto"/>
          </w:tcPr>
          <w:p w14:paraId="15EE336E" w14:textId="3CBDA414" w:rsidR="00E86EEC" w:rsidRPr="00C30BCF" w:rsidRDefault="00B946D6" w:rsidP="00B946D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محاضرة</w:t>
            </w:r>
          </w:p>
        </w:tc>
        <w:tc>
          <w:tcPr>
            <w:tcW w:w="2070" w:type="dxa"/>
            <w:shd w:val="clear" w:color="auto" w:fill="auto"/>
          </w:tcPr>
          <w:p w14:paraId="6E37C618" w14:textId="52D262A1" w:rsidR="00E86EEC" w:rsidRPr="00C30BCF" w:rsidRDefault="00B946D6" w:rsidP="00B946D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t>مق</w:t>
            </w:r>
          </w:p>
        </w:tc>
      </w:tr>
      <w:tr w:rsidR="00E86EEC" w:rsidRPr="00C30BCF" w14:paraId="0BDEE3B6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65459FAB" w14:textId="77777777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630" w:type="dxa"/>
            <w:shd w:val="clear" w:color="auto" w:fill="auto"/>
          </w:tcPr>
          <w:p w14:paraId="3B0B45CD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81ABC7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  <w:rtl/>
              </w:rPr>
              <w:bidi/>
            </w:pPr>
          </w:p>
        </w:tc>
        <w:tc>
          <w:tcPr>
            <w:tcW w:w="2700" w:type="dxa"/>
            <w:shd w:val="clear" w:color="auto" w:fill="auto"/>
          </w:tcPr>
          <w:p w14:paraId="1BA7D720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1440" w:type="dxa"/>
            <w:shd w:val="clear" w:color="auto" w:fill="auto"/>
          </w:tcPr>
          <w:p w14:paraId="10F49456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  <w:tc>
          <w:tcPr>
            <w:tcW w:w="2070" w:type="dxa"/>
            <w:shd w:val="clear" w:color="auto" w:fill="auto"/>
          </w:tcPr>
          <w:p w14:paraId="11EB5314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E86EEC" w:rsidRPr="00B80B61" w14:paraId="53D0E3F8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003D8982" w14:textId="77777777" w:rsidR="00E86EEC" w:rsidRPr="00B80B61" w:rsidRDefault="00E86EEC" w:rsidP="00E86EEC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الدورة</w:t>
            </w:r>
          </w:p>
        </w:tc>
      </w:tr>
      <w:tr w:rsidR="00E86EEC" w:rsidRPr="00B80B61" w14:paraId="012B75C0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0FC68439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1. التقييم المستمر</w:t>
            </w:r>
          </w:p>
          <w:p w14:paraId="4DCB2DD6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2. عروض الحالة</w:t>
            </w:r>
          </w:p>
          <w:p w14:paraId="06AA4E40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3. المشاركة الجماعية</w:t>
            </w:r>
          </w:p>
          <w:p w14:paraId="4E88A91E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4. تقييم المهارات</w:t>
            </w:r>
          </w:p>
          <w:p w14:paraId="6BCCC2C1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5. تحليل الحالة</w:t>
            </w:r>
          </w:p>
          <w:p w14:paraId="295864AB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6. التقييم الذاتي: عبر Google Classroom</w:t>
            </w:r>
          </w:p>
          <w:p w14:paraId="3F1AC605" w14:textId="77777777" w:rsidR="00E86EEC" w:rsidRPr="00852557" w:rsidRDefault="00E86EEC" w:rsidP="00E86E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  <w:rtl/>
              </w:rPr>
              <w:bidi/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7. الامتحانات الشاملة (MCQs والمقايسات القائمة على الحالة)</w:t>
            </w:r>
          </w:p>
        </w:tc>
      </w:tr>
      <w:tr w:rsidR="00E86EEC" w:rsidRPr="00B80B61" w14:paraId="6EC43BE9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7B51089C" w14:textId="77777777" w:rsidR="00E86EEC" w:rsidRPr="00B80B61" w:rsidRDefault="00E86EEC" w:rsidP="00E86EEC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مصادر التعلم والتدريس</w:t>
            </w:r>
          </w:p>
        </w:tc>
      </w:tr>
      <w:tr w:rsidR="00E86EEC" w:rsidRPr="00B80B61" w14:paraId="75BE6E6C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793B4CF5" w14:textId="77777777" w:rsidR="00E86EEC" w:rsidRPr="00B80B61" w:rsidRDefault="00E86EEC" w:rsidP="00E86EE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الكتب الدراسية المطلوبة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الكتب المنهجية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، لو اي)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730441D2" w14:textId="3E283C7B" w:rsidR="00E86EEC" w:rsidRPr="00782838" w:rsidRDefault="00E86EEC" w:rsidP="00E86EEC">
            <w:pPr>
              <w:widowControl w:val="0"/>
              <w:suppressAutoHyphens/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1. مبادئ ديفيدسون وممارسته للطب</w:t>
            </w:r>
          </w:p>
          <w:p w14:paraId="055E0802" w14:textId="77777777" w:rsidR="00E86EEC" w:rsidRPr="00782838" w:rsidRDefault="00E86EEC" w:rsidP="00E86EEC">
            <w:pPr>
              <w:widowControl w:val="0"/>
              <w:suppressAutoHyphens/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2.</w:t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ab/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كتاب بيلي ولوف للجراحة</w:t>
            </w:r>
          </w:p>
          <w:p w14:paraId="0365EBCE" w14:textId="77777777" w:rsidR="00E86EEC" w:rsidRDefault="00E86EEC" w:rsidP="00E86EE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3.</w:t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ab/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  <w:rtl/>
              </w:rPr>
              <w:t>مبادئ هاريسون للطب الباطني</w:t>
            </w:r>
          </w:p>
          <w:p w14:paraId="7813DE5A" w14:textId="77777777" w:rsidR="00E86EEC" w:rsidRPr="00B80B61" w:rsidRDefault="00E86EEC" w:rsidP="00E86EEC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  <w:p w14:paraId="2D461C75" w14:textId="77777777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E86EEC" w:rsidRPr="00B80B61" w14:paraId="77A54CF0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259F0EBC" w14:textId="77777777" w:rsidR="00E86EEC" w:rsidRPr="00B80B61" w:rsidRDefault="00E86EEC" w:rsidP="00E86EE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المراجع الرئيسية (المصادر)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6205128B" w14:textId="662F4B86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</w:p>
        </w:tc>
      </w:tr>
      <w:tr w:rsidR="00E86EEC" w:rsidRPr="00B80B61" w14:paraId="42498CE9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1B85895A" w14:textId="77777777" w:rsidR="00E86EEC" w:rsidRPr="00B80B61" w:rsidRDefault="00E86EEC" w:rsidP="00E86EE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الكتب والمراجع الموصى بها (المجلات العلمية، التقارير...)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6CF30667" w14:textId="77777777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حتى الآن</w:t>
            </w:r>
          </w:p>
        </w:tc>
      </w:tr>
      <w:tr w:rsidR="00E86EEC" w:rsidRPr="00B80B61" w14:paraId="021D5B39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1AAFAB47" w14:textId="77777777" w:rsidR="00E86EEC" w:rsidRPr="00B80B61" w:rsidRDefault="00E86EEC" w:rsidP="00E86EE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  <w:rtl/>
              </w:rPr>
              <w:bidi/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المراجع الإلكترونية، المواقع الإلكترونية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76F624C0" w14:textId="77777777" w:rsidR="00E86EEC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إرشادات جينا</w:t>
            </w:r>
          </w:p>
          <w:p w14:paraId="2354AA7E" w14:textId="1C2C6BCE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bidi/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  <w:rtl/>
              </w:rPr>
              <w:t>المبادئ التوجيهية الذهبية</w:t>
            </w:r>
          </w:p>
        </w:tc>
      </w:tr>
    </w:tbl>
    <w:p w14:paraId="3B415D11" w14:textId="77777777" w:rsidR="00857AE6" w:rsidRDefault="00857AE6" w:rsidP="00857AE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  <w:rtl/>
        </w:rPr>
        <w:bidi/>
      </w:pPr>
    </w:p>
    <w:p w14:paraId="559C3A55" w14:textId="77777777" w:rsidR="00857AE6" w:rsidRPr="00F655F7" w:rsidRDefault="00857AE6" w:rsidP="00857AE6">
      <w:pPr>
        <w:rPr>
          <w:rFonts w:ascii="Arial" w:hAnsi="Arial" w:cs="Arial"/>
          <w:sz w:val="28"/>
          <w:szCs w:val="28"/>
          <w:lang w:bidi="ar-IQ"/>
          <w:rtl/>
        </w:rPr>
        <w:bidi/>
      </w:pPr>
    </w:p>
    <w:p w14:paraId="6C083E6C" w14:textId="77777777" w:rsidR="00A3496D" w:rsidRDefault="00A3496D">
      <w:pPr>
        <w:bidi/>
        <w:rtl/>
      </w:pPr>
    </w:p>
    <w:sectPr w:rsidR="00A3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71E6"/>
    <w:multiLevelType w:val="multilevel"/>
    <w:tmpl w:val="B3DE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62DF0"/>
    <w:multiLevelType w:val="hybridMultilevel"/>
    <w:tmpl w:val="F634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47D76"/>
    <w:multiLevelType w:val="multilevel"/>
    <w:tmpl w:val="C6FA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310944">
    <w:abstractNumId w:val="2"/>
  </w:num>
  <w:num w:numId="2" w16cid:durableId="152189367">
    <w:abstractNumId w:val="3"/>
  </w:num>
  <w:num w:numId="3" w16cid:durableId="1497264678">
    <w:abstractNumId w:val="0"/>
  </w:num>
  <w:num w:numId="4" w16cid:durableId="112033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5F"/>
    <w:rsid w:val="000010BF"/>
    <w:rsid w:val="00030184"/>
    <w:rsid w:val="00100505"/>
    <w:rsid w:val="00116DFE"/>
    <w:rsid w:val="00132690"/>
    <w:rsid w:val="00183513"/>
    <w:rsid w:val="001D4E1C"/>
    <w:rsid w:val="001F30AE"/>
    <w:rsid w:val="00222FC2"/>
    <w:rsid w:val="00230251"/>
    <w:rsid w:val="00240774"/>
    <w:rsid w:val="002B7116"/>
    <w:rsid w:val="002E5F70"/>
    <w:rsid w:val="002F0597"/>
    <w:rsid w:val="002F72B3"/>
    <w:rsid w:val="003037C7"/>
    <w:rsid w:val="0035074B"/>
    <w:rsid w:val="003728C2"/>
    <w:rsid w:val="004119B2"/>
    <w:rsid w:val="004351F2"/>
    <w:rsid w:val="004F6B5F"/>
    <w:rsid w:val="004F745F"/>
    <w:rsid w:val="00520A4D"/>
    <w:rsid w:val="00552D33"/>
    <w:rsid w:val="005823BF"/>
    <w:rsid w:val="005879DF"/>
    <w:rsid w:val="005C0CDB"/>
    <w:rsid w:val="005C50E5"/>
    <w:rsid w:val="00697F28"/>
    <w:rsid w:val="006C4582"/>
    <w:rsid w:val="006D775A"/>
    <w:rsid w:val="006F36BE"/>
    <w:rsid w:val="006F5F0F"/>
    <w:rsid w:val="007463EA"/>
    <w:rsid w:val="00777DEF"/>
    <w:rsid w:val="00854F33"/>
    <w:rsid w:val="00857AE6"/>
    <w:rsid w:val="00890333"/>
    <w:rsid w:val="00915AB8"/>
    <w:rsid w:val="009532F2"/>
    <w:rsid w:val="009620E4"/>
    <w:rsid w:val="009642A7"/>
    <w:rsid w:val="009920E8"/>
    <w:rsid w:val="009E12CA"/>
    <w:rsid w:val="00A34117"/>
    <w:rsid w:val="00A3496D"/>
    <w:rsid w:val="00AE34DD"/>
    <w:rsid w:val="00AE452B"/>
    <w:rsid w:val="00B13231"/>
    <w:rsid w:val="00B352A0"/>
    <w:rsid w:val="00B946D6"/>
    <w:rsid w:val="00BA73C5"/>
    <w:rsid w:val="00BB75C7"/>
    <w:rsid w:val="00BC5F26"/>
    <w:rsid w:val="00BD2D70"/>
    <w:rsid w:val="00BD5AF9"/>
    <w:rsid w:val="00BD77B1"/>
    <w:rsid w:val="00C050EF"/>
    <w:rsid w:val="00C30B2A"/>
    <w:rsid w:val="00C86FF4"/>
    <w:rsid w:val="00C93009"/>
    <w:rsid w:val="00CC120A"/>
    <w:rsid w:val="00D55B38"/>
    <w:rsid w:val="00D84C24"/>
    <w:rsid w:val="00D91DB6"/>
    <w:rsid w:val="00E01DB0"/>
    <w:rsid w:val="00E04B1A"/>
    <w:rsid w:val="00E351FA"/>
    <w:rsid w:val="00E5427C"/>
    <w:rsid w:val="00E762EB"/>
    <w:rsid w:val="00E86EEC"/>
    <w:rsid w:val="00EB7090"/>
    <w:rsid w:val="00EC6911"/>
    <w:rsid w:val="00EE636C"/>
    <w:rsid w:val="00F812A5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587DF"/>
  <w15:chartTrackingRefBased/>
  <w15:docId w15:val="{967C4C6E-F674-4EA2-8F8F-4092163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51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AE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_odt_hyperlink" Type="http://schemas.openxmlformats.org/officeDocument/2006/relationships/hyperlink" Target="https://www.onlinedoctranslator.com/ar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  <wetp:taskpane dockstate="right" visibility="0" width="438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AA7F0F8-2F5F-4E31-95F2-EF1D27E545D9}">
  <we:reference id="wa200005826" version="1.1.1.0" store="en-US" storeType="OMEX"/>
  <we:alternateReferences>
    <we:reference id="wa200005826" version="1.1.1.0" store="wa200005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A950C85-7D36-4E8E-BD6B-0F3AF353669B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1952</Words>
  <Characters>12549</Characters>
  <Application>Microsoft Office Word</Application>
  <DocSecurity>0</DocSecurity>
  <Lines>104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abbas</dc:creator>
  <cp:keywords/>
  <dc:description/>
  <cp:lastModifiedBy>Haider Abdulhameed Alqaraghuli</cp:lastModifiedBy>
  <cp:revision>72</cp:revision>
  <dcterms:created xsi:type="dcterms:W3CDTF">2024-03-24T04:57:00Z</dcterms:created>
  <dcterms:modified xsi:type="dcterms:W3CDTF">2024-03-24T06:26:00Z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ae1b8107333652d392a1e87b8726c668f52db2e62be4b546d61539f39ccbd61e</vt:lpwstr>
  </property>
</Properties>
</file>