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103505</wp:posOffset>
                </wp:positionV>
                <wp:extent cx="5829300" cy="342900"/>
                <wp:effectExtent l="0" t="0" r="7620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81320" dir="308041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Second Year 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Medicine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Semester in Histology / 2023- 2024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35pt;margin-top:8.15pt;height:27pt;width:459pt;z-index:251659264;mso-width-relative:page;mso-height-relative:page;" fillcolor="#EEEEEE" filled="t" stroked="t" coordsize="21600,21600" o:gfxdata="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Dcrq92AAAAAkBAAAPAAAAAAAAAAEAIAAA&#10;ACIAAABkcnMvZG93bnJldi54bWxQSwECFAAUAAAACACHTuJA9b7b234CAAAtBQAADgAAAAAAAAAB&#10;ACAAAAAnAQAAZHJzL2Uyb0RvYy54bWxQSwUGAAAAAAYABgBZAQAAFwYAAAAA&#10;">
                <v:fill on="t" focussize="0,0"/>
                <v:stroke weight="0.5pt" color="#000000" miterlimit="8" joinstyle="miter"/>
                <v:imagedata o:title=""/>
                <o:lock v:ext="edit" aspectratio="f"/>
                <v:shadow on="t" color="#808080" opacity="32768f" offset="4pt,5pt" origin="0f,0f" matrix="65536f,0f,0f,65536f"/>
                <v:textbox>
                  <w:txbxContent>
                    <w:p>
                      <w:pPr>
                        <w:bidi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Second Year / </w:t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Medicine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Arial" w:hAnsi="Arial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Semester in Histology / 2023- 2024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Bidi" w:hAnsiTheme="majorBidi" w:cstheme="majorBidi"/>
          <w:lang w:bidi="ar-IQ"/>
        </w:rPr>
      </w:pPr>
    </w:p>
    <w:p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Theory: 2 hours/week.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Practical: 2 hours/week. Credits: 3 credit hours.</w:t>
      </w:r>
    </w:p>
    <w:tbl>
      <w:tblPr>
        <w:tblStyle w:val="8"/>
        <w:tblpPr w:leftFromText="180" w:rightFromText="180" w:vertAnchor="text" w:horzAnchor="margin" w:tblpXSpec="center" w:tblpY="365"/>
        <w:bidiVisual/>
        <w:tblW w:w="9720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shd w:val="clear" w:color="auto" w:fill="A7BFDE"/>
            <w:vAlign w:val="center"/>
          </w:tcPr>
          <w:p>
            <w:pPr>
              <w:bidi w:val="0"/>
              <w:ind w:left="108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Course objectives</w:t>
            </w:r>
          </w:p>
          <w:p>
            <w:pPr>
              <w:bidi w:val="0"/>
              <w:ind w:left="7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 The student acquires knowledge and skills in the subject of human histology so that he is able to recognize the microstructure of the normal primary tissues and body organs.</w:t>
            </w:r>
          </w:p>
          <w:p>
            <w:pPr>
              <w:autoSpaceDE w:val="0"/>
              <w:autoSpaceDN w:val="0"/>
              <w:bidi w:val="0"/>
              <w:adjustRightInd w:val="0"/>
              <w:ind w:left="7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2- The student appreciates the relevance of structure of tissue to their function and the close   interrelationship between morphology , physiology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 pathology and relevant clinically oriented relation.</w:t>
            </w:r>
          </w:p>
          <w:p>
            <w:pPr>
              <w:autoSpaceDE w:val="0"/>
              <w:autoSpaceDN w:val="0"/>
              <w:bidi w:val="0"/>
              <w:adjustRightInd w:val="0"/>
              <w:ind w:left="7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tbl>
      <w:tblPr>
        <w:tblStyle w:val="8"/>
        <w:tblpPr w:leftFromText="180" w:rightFromText="180" w:vertAnchor="text" w:horzAnchor="margin" w:tblpXSpec="center" w:tblpY="8"/>
        <w:bidiVisual/>
        <w:tblW w:w="9720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single" w:color="4F81BD" w:sz="8" w:space="0"/>
            <w:insideV w:val="single" w:color="4F81BD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720" w:type="dxa"/>
            <w:shd w:val="clear" w:color="auto" w:fill="A7BFDE"/>
            <w:vAlign w:val="center"/>
          </w:tcPr>
          <w:p>
            <w:pPr>
              <w:widowControl w:val="0"/>
              <w:autoSpaceDE w:val="0"/>
              <w:autoSpaceDN w:val="0"/>
              <w:bidi w:val="0"/>
              <w:adjustRightInd w:val="0"/>
              <w:spacing w:line="262" w:lineRule="exact"/>
              <w:ind w:left="432" w:hanging="360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*General and Transferable Skills (other skills that relevant to employability and personal development) </w:t>
            </w:r>
          </w:p>
          <w:p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D1. How to use the microscope</w:t>
            </w:r>
          </w:p>
          <w:p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 xml:space="preserve">D2. How to prepare a tissue for microscopic examination </w:t>
            </w:r>
          </w:p>
          <w:p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248"/>
              <w:jc w:val="both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D3. How to study tissue using glass slide</w:t>
            </w:r>
          </w:p>
          <w:p>
            <w:pPr>
              <w:tabs>
                <w:tab w:val="left" w:pos="687"/>
              </w:tabs>
              <w:autoSpaceDE w:val="0"/>
              <w:autoSpaceDN w:val="0"/>
              <w:bidi w:val="0"/>
              <w:adjustRightInd w:val="0"/>
              <w:ind w:left="248" w:right="25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D4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study different tissue in common and specific stains.</w:t>
            </w:r>
          </w:p>
        </w:tc>
      </w:tr>
    </w:tbl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tabs>
          <w:tab w:val="left" w:pos="1941"/>
        </w:tabs>
        <w:autoSpaceDE w:val="0"/>
        <w:autoSpaceDN w:val="0"/>
        <w:bidi w:val="0"/>
        <w:adjustRightInd w:val="0"/>
        <w:spacing w:before="240"/>
        <w:ind w:left="-335" w:right="-426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>
      <w:pPr>
        <w:bidi w:val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Curricular Topics &amp; Timetable</w:t>
      </w:r>
    </w:p>
    <w:p>
      <w:pPr>
        <w:pStyle w:val="25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25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25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18"/>
        <w:tblW w:w="9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504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88" w:type="dxa"/>
            <w:shd w:val="clear" w:color="auto" w:fill="D8D8D8" w:themeFill="background1" w:themeFillShade="D9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bookmarkStart w:id="0" w:name="_Hlk115542941"/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047" w:type="dxa"/>
            <w:shd w:val="clear" w:color="auto" w:fill="D8D8D8" w:themeFill="background1" w:themeFillShade="D9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00" w:type="dxa"/>
            <w:shd w:val="clear" w:color="auto" w:fill="D8D8D8" w:themeFill="background1" w:themeFillShade="D9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04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76" w:lineRule="auto"/>
              <w:rPr>
                <w:rFonts w:cs="Arial"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Arial" w:asciiTheme="minorHAnsi" w:hAnsiTheme="minorHAnsi"/>
                <w:b/>
                <w:bCs/>
                <w:sz w:val="24"/>
                <w:szCs w:val="24"/>
              </w:rPr>
              <w:t>Introduction to  histlogy. Methods of tissue examination and stains .General informations about light micrscopy.</w:t>
            </w:r>
          </w:p>
          <w:p>
            <w:pPr>
              <w:pStyle w:val="11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Epithelial tissue, Types , defect in epithelial tissue as: dyskeratosis ,dysplasia and metaplasia.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Introductory session: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Histological preparation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Polarity of epithelial tissue.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Glandular epithelia types.</w:t>
            </w:r>
          </w:p>
        </w:tc>
        <w:tc>
          <w:tcPr>
            <w:tcW w:w="2800" w:type="dxa"/>
            <w:vAlign w:val="center"/>
          </w:tcPr>
          <w:p>
            <w:pPr>
              <w:pStyle w:val="3"/>
              <w:bidi w:val="0"/>
              <w:spacing w:line="276" w:lineRule="auto"/>
              <w:jc w:val="both"/>
              <w:outlineLvl w:val="2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 xml:space="preserve">Epithelial tissue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pStyle w:val="11"/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Connective tissue components, relevant disorder in tissue fluid.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Cells of connective tissue, example in wound closure.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Epithelial gland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047" w:type="dxa"/>
            <w:vAlign w:val="center"/>
          </w:tcPr>
          <w:p>
            <w:pPr>
              <w:pStyle w:val="11"/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Specialized types of connective tissue; Adipose tissue (unilocular &amp; multilocular).</w:t>
            </w:r>
          </w:p>
          <w:p>
            <w:pPr>
              <w:pStyle w:val="9"/>
              <w:bidi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Cartilage types histogensis of cartilage disorders in osteosrythropathy.</w:t>
            </w:r>
          </w:p>
        </w:tc>
        <w:tc>
          <w:tcPr>
            <w:tcW w:w="2800" w:type="dxa"/>
            <w:vAlign w:val="center"/>
          </w:tcPr>
          <w:p>
            <w:pPr>
              <w:pStyle w:val="5"/>
              <w:bidi w:val="0"/>
              <w:spacing w:line="276" w:lineRule="auto"/>
              <w:jc w:val="both"/>
              <w:outlineLvl w:val="6"/>
              <w:rPr>
                <w:rFonts w:cs="Arial" w:asciiTheme="minorHAnsi" w:hAnsiTheme="minorHAnsi"/>
                <w:i w:val="0"/>
                <w:iCs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i w:val="0"/>
                <w:iCs w:val="0"/>
                <w:sz w:val="24"/>
                <w:szCs w:val="24"/>
              </w:rPr>
              <w:t xml:space="preserve">Connective tissue </w:t>
            </w:r>
            <w:r>
              <w:rPr>
                <w:rFonts w:cs="Times New Roman" w:asciiTheme="minorHAnsi" w:hAnsiTheme="minorHAnsi"/>
                <w:i w:val="0"/>
                <w:iCs w:val="0"/>
                <w:sz w:val="24"/>
                <w:szCs w:val="24"/>
              </w:rPr>
              <w:t>I</w:t>
            </w:r>
            <w:r>
              <w:rPr>
                <w:rFonts w:cs="Arial" w:asciiTheme="minorHAnsi" w:hAnsiTheme="minorHAnsi"/>
                <w:i w:val="0"/>
                <w:iCs w:val="0"/>
                <w:sz w:val="24"/>
                <w:szCs w:val="24"/>
              </w:rPr>
              <w:t>.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cs="Arial"/>
                <w:b/>
                <w:bCs/>
                <w:sz w:val="24"/>
                <w:szCs w:val="24"/>
              </w:rPr>
              <w:t>Bone: cells, matrix, types of bones.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Bone histogenesis, growth &amp; remodeling.</w:t>
            </w:r>
          </w:p>
        </w:tc>
        <w:tc>
          <w:tcPr>
            <w:tcW w:w="2800" w:type="dxa"/>
            <w:vAlign w:val="center"/>
          </w:tcPr>
          <w:p>
            <w:pPr>
              <w:pStyle w:val="5"/>
              <w:bidi w:val="0"/>
              <w:spacing w:line="276" w:lineRule="auto"/>
              <w:jc w:val="both"/>
              <w:outlineLvl w:val="6"/>
              <w:rPr>
                <w:rFonts w:cs="Arial" w:asciiTheme="minorHAnsi" w:hAnsiTheme="minorHAnsi"/>
                <w:i w:val="0"/>
                <w:iCs w:val="0"/>
                <w:sz w:val="24"/>
                <w:szCs w:val="24"/>
              </w:rPr>
            </w:pPr>
            <w:r>
              <w:rPr>
                <w:rFonts w:cs="Arial" w:asciiTheme="minorHAnsi" w:hAnsiTheme="minorHAnsi"/>
                <w:i w:val="0"/>
                <w:iCs w:val="0"/>
                <w:sz w:val="24"/>
                <w:szCs w:val="24"/>
              </w:rPr>
              <w:t xml:space="preserve">Connective tissue </w:t>
            </w:r>
            <w:r>
              <w:rPr>
                <w:rFonts w:cs="Times New Roman" w:asciiTheme="minorHAnsi" w:hAnsiTheme="minorHAnsi"/>
                <w:i w:val="0"/>
                <w:iCs w:val="0"/>
                <w:sz w:val="24"/>
                <w:szCs w:val="24"/>
              </w:rPr>
              <w:t>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Blood: cells, formed elements.</w:t>
            </w:r>
          </w:p>
          <w:p>
            <w:pPr>
              <w:tabs>
                <w:tab w:val="left" w:pos="5900"/>
              </w:tabs>
              <w:bidi w:val="0"/>
              <w:spacing w:after="0" w:line="276" w:lineRule="auto"/>
              <w:ind w:left="437" w:hanging="437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2. Hematopoiesis; stem cells, bone marrow, maturation. Disorders as in anaemia and spherocytosis, haemoglobiopathies as sickle cell anaemia </w:t>
            </w:r>
          </w:p>
        </w:tc>
        <w:tc>
          <w:tcPr>
            <w:tcW w:w="2800" w:type="dxa"/>
            <w:vAlign w:val="center"/>
          </w:tcPr>
          <w:p>
            <w:pPr>
              <w:pStyle w:val="6"/>
              <w:bidi w:val="0"/>
              <w:spacing w:line="276" w:lineRule="auto"/>
              <w:jc w:val="both"/>
              <w:outlineLvl w:val="8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 xml:space="preserve">Bone </w:t>
            </w:r>
            <w:r>
              <w:rPr>
                <w:rFonts w:cs="Times New Roman" w:asciiTheme="minorHAnsi" w:hAnsiTheme="minorHAnsi"/>
                <w:b/>
                <w:bCs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047" w:type="dxa"/>
          </w:tcPr>
          <w:p>
            <w:pPr>
              <w:tabs>
                <w:tab w:val="left" w:pos="5900"/>
              </w:tabs>
              <w:bidi w:val="0"/>
              <w:spacing w:after="0" w:line="276" w:lineRule="auto"/>
              <w:ind w:left="437" w:hanging="437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Maturation of granyolocytes, maturation of lymphocytes &amp; monocytes, origin of platelets. Disorders of lymphocytes and granulocytes examples of lymphoma and leukamia</w:t>
            </w:r>
          </w:p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Theoretical Examination</w:t>
            </w:r>
          </w:p>
        </w:tc>
        <w:tc>
          <w:tcPr>
            <w:tcW w:w="2800" w:type="dxa"/>
            <w:vAlign w:val="center"/>
          </w:tcPr>
          <w:p>
            <w:pPr>
              <w:pStyle w:val="3"/>
              <w:bidi w:val="0"/>
              <w:spacing w:line="276" w:lineRule="auto"/>
              <w:outlineLvl w:val="2"/>
              <w:rPr>
                <w:rFonts w:cs="Times New Roman" w:asciiTheme="minorHAnsi" w:hAnsiTheme="minorHAnsi"/>
                <w:b/>
                <w:bCs/>
              </w:rPr>
            </w:pPr>
            <w:r>
              <w:rPr>
                <w:rFonts w:cs="Times New Roman" w:asciiTheme="minorHAnsi" w:hAnsiTheme="minorHAnsi"/>
                <w:b/>
                <w:bCs/>
                <w:i/>
                <w:iCs/>
              </w:rPr>
              <w:t>Practical Examination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Blood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047" w:type="dxa"/>
          </w:tcPr>
          <w:p>
            <w:pPr>
              <w:pStyle w:val="9"/>
              <w:bidi w:val="0"/>
              <w:spacing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Muscle tissue: structure, contraction &amp; of skletetal muscle, hypertrophy and regeneration.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Cardiac muscle and its changes in myocardial infact &amp; smooth muscle  structure ;and hypertrophy and hyperplasia.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Hemopoieses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ind w:left="437" w:hanging="43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Nervous tissue: histogenesis, cells,&amp; synapses , regeneration and  loss of neuronal tissue in stroke.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Nerve fibers, nerves, ganglia, principle of regeneration of nerve fibers in traumatic injury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Muscle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ind w:left="437" w:hanging="43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Brain and spinal meningies , types of dural hemorrhages  , and  structure of blood-brain-barrier, CSF circulation and relation to hydrocephalous.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Cytoarchitecture of the spinal cord, roots of spinal nerves.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Nervous tissue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ind w:left="437" w:hanging="43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Skin: Epidermis, Dermis and Subcutaneous Tissue, difference in thin and thick skin.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Skin: Receptors, Hair, Nail, and Glands, specific features of nails in some clinical conditions.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ind w:left="437" w:hanging="43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The Central Nervous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System, and Meninges.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ind w:left="437" w:hanging="43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The Circulatory System;  structural plan, large elastic arteries and muscular artiers, feature of antithrombotic activity of endothelium.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 Medium arteries, Arterioles, AV anastomosis,  types of Capillaries, and Veins, special features of coronary artiers and the heart.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Skin.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pStyle w:val="25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Lymphoid Organs; mucosa associated lymphoid tissue special aggregates as gut associated and bronchus associated lymphoid tissue.</w:t>
            </w:r>
          </w:p>
          <w:p>
            <w:pPr>
              <w:pStyle w:val="25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Tonsils types and relation to adenoids and tonsillitis,  Thymus structure and function.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The Circulatory System.</w:t>
            </w:r>
          </w:p>
          <w:p>
            <w:pPr>
              <w:bidi w:val="0"/>
              <w:spacing w:after="0" w:line="276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Heart.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 overview.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Lymphoid organs.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88" w:type="dxa"/>
            <w:vAlign w:val="center"/>
          </w:tcPr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  <w:p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overview</w:t>
            </w:r>
          </w:p>
        </w:tc>
        <w:tc>
          <w:tcPr>
            <w:tcW w:w="2800" w:type="dxa"/>
            <w:vAlign w:val="center"/>
          </w:tcPr>
          <w:p>
            <w:pPr>
              <w:bidi w:val="0"/>
              <w:spacing w:after="0" w:line="276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>
      <w:pPr>
        <w:pStyle w:val="25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pStyle w:val="25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Lecturer: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Ass. Professor . Dr. Huda Rashid kamoona.</w:t>
      </w:r>
    </w:p>
    <w:p>
      <w:pPr>
        <w:pStyle w:val="25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Practical sessions:</w:t>
      </w:r>
    </w:p>
    <w:p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Professr.  Dr. May Fadhil Al-Habib</w:t>
      </w:r>
    </w:p>
    <w:p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Professor Dr.Hayder j.Mubarak</w:t>
      </w:r>
    </w:p>
    <w:p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Ass. Professor. Dr. Huda Rashid kamoona.</w:t>
      </w:r>
    </w:p>
    <w:p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Assisstant lecturer. Rusul Hamed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hassan</w:t>
      </w:r>
    </w:p>
    <w:p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Assisstant lecturer.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>Lamyaa hadi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>
      <w:pPr>
        <w:bidi w:val="0"/>
        <w:rPr>
          <w:rFonts w:asciiTheme="majorBidi" w:hAnsiTheme="majorBidi" w:cstheme="majorBidi"/>
          <w:sz w:val="28"/>
          <w:szCs w:val="28"/>
        </w:rPr>
      </w:pPr>
    </w:p>
    <w:p>
      <w:pPr>
        <w:bidi w:val="0"/>
        <w:spacing w:line="360" w:lineRule="auto"/>
        <w:ind w:left="-45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Textbooks:</w:t>
      </w:r>
    </w:p>
    <w:p>
      <w:pPr>
        <w:numPr>
          <w:ilvl w:val="0"/>
          <w:numId w:val="5"/>
        </w:numPr>
        <w:tabs>
          <w:tab w:val="left" w:pos="-360"/>
        </w:tabs>
        <w:bidi w:val="0"/>
        <w:spacing w:after="0" w:line="360" w:lineRule="auto"/>
        <w:ind w:left="-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Junqueira LC &amp; Carneiro J (2016): </w:t>
      </w:r>
      <w:r>
        <w:rPr>
          <w:rFonts w:asciiTheme="majorBidi" w:hAnsiTheme="majorBidi" w:cstheme="majorBidi"/>
          <w:i/>
          <w:iCs/>
          <w:sz w:val="24"/>
          <w:szCs w:val="24"/>
        </w:rPr>
        <w:t>Basic Histology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>
        <w:rPr>
          <w:rFonts w:asciiTheme="majorBidi" w:hAnsiTheme="majorBidi" w:cstheme="majorBidi"/>
          <w:i/>
          <w:iCs/>
          <w:sz w:val="24"/>
          <w:szCs w:val="24"/>
        </w:rPr>
        <w:t>Text &amp; Atlas</w:t>
      </w:r>
      <w:r>
        <w:rPr>
          <w:rFonts w:asciiTheme="majorBidi" w:hAnsiTheme="majorBidi" w:cstheme="majorBidi"/>
          <w:sz w:val="24"/>
          <w:szCs w:val="24"/>
        </w:rPr>
        <w:t>. 14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ed. McGraw-Hill Medical. New York.</w:t>
      </w:r>
    </w:p>
    <w:p>
      <w:pPr>
        <w:numPr>
          <w:ilvl w:val="0"/>
          <w:numId w:val="5"/>
        </w:numPr>
        <w:tabs>
          <w:tab w:val="left" w:pos="-360"/>
        </w:tabs>
        <w:bidi w:val="0"/>
        <w:spacing w:after="0" w:line="360" w:lineRule="auto"/>
        <w:ind w:left="-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Leeson TS, Leeson CR &amp; Paparo AA (1988): </w:t>
      </w:r>
      <w:r>
        <w:rPr>
          <w:rFonts w:asciiTheme="majorBidi" w:hAnsiTheme="majorBidi" w:cstheme="majorBidi"/>
          <w:i/>
          <w:iCs/>
          <w:sz w:val="24"/>
          <w:szCs w:val="24"/>
        </w:rPr>
        <w:t>Text/Atlas of Histology</w:t>
      </w:r>
      <w:r>
        <w:rPr>
          <w:rFonts w:asciiTheme="majorBidi" w:hAnsiTheme="majorBidi" w:cstheme="majorBidi"/>
          <w:sz w:val="24"/>
          <w:szCs w:val="24"/>
        </w:rPr>
        <w:t xml:space="preserve">. WB Saunders. USA. </w:t>
      </w:r>
    </w:p>
    <w:p>
      <w:pPr>
        <w:bidi w:val="0"/>
        <w:spacing w:line="360" w:lineRule="auto"/>
        <w:ind w:left="-450"/>
        <w:jc w:val="lowKashida"/>
        <w:rPr>
          <w:rFonts w:asciiTheme="majorBidi" w:hAnsiTheme="majorBidi" w:cstheme="majorBidi"/>
          <w:sz w:val="28"/>
          <w:szCs w:val="28"/>
        </w:rPr>
      </w:pPr>
    </w:p>
    <w:p>
      <w:pPr>
        <w:pStyle w:val="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Mark   allocation</w:t>
      </w:r>
    </w:p>
    <w:tbl>
      <w:tblPr>
        <w:tblStyle w:val="8"/>
        <w:tblpPr w:leftFromText="180" w:rightFromText="180" w:vertAnchor="text" w:horzAnchor="page" w:tblpX="1393" w:tblpY="2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Quizzes </w:t>
            </w:r>
          </w:p>
        </w:tc>
        <w:tc>
          <w:tcPr>
            <w:tcW w:w="636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Mid-term theory</w:t>
            </w:r>
          </w:p>
        </w:tc>
        <w:tc>
          <w:tcPr>
            <w:tcW w:w="636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Mid-term practical</w:t>
            </w:r>
          </w:p>
        </w:tc>
        <w:tc>
          <w:tcPr>
            <w:tcW w:w="636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Final theory</w:t>
            </w:r>
          </w:p>
        </w:tc>
        <w:tc>
          <w:tcPr>
            <w:tcW w:w="636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2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Final practical</w:t>
            </w:r>
          </w:p>
        </w:tc>
        <w:tc>
          <w:tcPr>
            <w:tcW w:w="636" w:type="dxa"/>
          </w:tcPr>
          <w:p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</w:tbl>
    <w:p>
      <w:pPr>
        <w:pStyle w:val="12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</w:t>
      </w:r>
    </w:p>
    <w:p>
      <w:pPr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>
      <w:pPr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tabs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tabs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tabs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  <w:bookmarkStart w:id="1" w:name="_GoBack"/>
      <w:bookmarkEnd w:id="1"/>
    </w:p>
    <w:p>
      <w:pPr>
        <w:tabs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</w:p>
    <w:p>
      <w:pPr>
        <w:numPr>
          <w:ilvl w:val="0"/>
          <w:numId w:val="5"/>
        </w:numPr>
        <w:tabs>
          <w:tab w:val="left" w:pos="-360"/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Web sites</w:t>
      </w:r>
    </w:p>
    <w:p>
      <w:pPr>
        <w:numPr>
          <w:ilvl w:val="0"/>
          <w:numId w:val="5"/>
        </w:numPr>
        <w:tabs>
          <w:tab w:val="left" w:pos="-360"/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4"/>
          <w:szCs w:val="24"/>
          <w:lang w:bidi="ar-IQ"/>
        </w:rPr>
      </w:pPr>
      <w:r>
        <w:fldChar w:fldCharType="begin"/>
      </w:r>
      <w:r>
        <w:instrText xml:space="preserve"> HYPERLINK "http://www.histology-world.com/" </w:instrText>
      </w:r>
      <w:r>
        <w:fldChar w:fldCharType="separate"/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t>http://www.histology-world.com/</w:t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fldChar w:fldCharType="end"/>
      </w:r>
    </w:p>
    <w:p>
      <w:pPr>
        <w:numPr>
          <w:ilvl w:val="0"/>
          <w:numId w:val="5"/>
        </w:numPr>
        <w:tabs>
          <w:tab w:val="left" w:pos="-360"/>
          <w:tab w:val="left" w:pos="5220"/>
        </w:tabs>
        <w:bidi w:val="0"/>
        <w:spacing w:after="0" w:line="360" w:lineRule="auto"/>
        <w:ind w:left="-450"/>
        <w:rPr>
          <w:rFonts w:asciiTheme="majorBidi" w:hAnsiTheme="majorBidi" w:cstheme="majorBidi"/>
          <w:sz w:val="24"/>
          <w:szCs w:val="24"/>
          <w:lang w:bidi="ar-IQ"/>
        </w:rPr>
      </w:pPr>
      <w:r>
        <w:fldChar w:fldCharType="begin"/>
      </w:r>
      <w:r>
        <w:instrText xml:space="preserve"> HYPERLINK "http://www.siumed.edu/%7Edking2/index.htm" </w:instrText>
      </w:r>
      <w:r>
        <w:fldChar w:fldCharType="separate"/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t>http://www.siumed.edu/%7Edking2/index.htm</w:t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fldChar w:fldCharType="end"/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  <w:r>
        <w:fldChar w:fldCharType="begin"/>
      </w:r>
      <w:r>
        <w:instrText xml:space="preserve"> HYPERLINK "http://www.lab.anhb.uwa.edu.au/mb140/" </w:instrText>
      </w:r>
      <w:r>
        <w:fldChar w:fldCharType="separate"/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t>http://www.lab.anhb.uwa.edu.au/mb140/</w:t>
      </w:r>
      <w:r>
        <w:rPr>
          <w:rStyle w:val="16"/>
          <w:rFonts w:asciiTheme="majorBidi" w:hAnsiTheme="majorBidi" w:cstheme="majorBidi"/>
          <w:sz w:val="24"/>
          <w:szCs w:val="24"/>
          <w:lang w:bidi="ar-IQ"/>
        </w:rPr>
        <w:fldChar w:fldCharType="end"/>
      </w:r>
    </w:p>
    <w:p>
      <w:pPr>
        <w:tabs>
          <w:tab w:val="left" w:pos="0"/>
          <w:tab w:val="left" w:pos="52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</w:p>
    <w:p>
      <w:pPr>
        <w:tabs>
          <w:tab w:val="left" w:pos="6841"/>
        </w:tabs>
        <w:rPr>
          <w:rFonts w:asciiTheme="majorBidi" w:hAnsiTheme="majorBidi" w:cstheme="majorBidi"/>
          <w:sz w:val="24"/>
          <w:szCs w:val="24"/>
          <w:lang w:bidi="ar-IQ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900"/>
      <w:rPr>
        <w:rFonts w:asciiTheme="majorBidi" w:hAnsiTheme="majorBidi" w:cstheme="majorBidi"/>
        <w:b/>
        <w:bCs/>
        <w:szCs w:val="28"/>
      </w:rPr>
    </w:pPr>
    <w:r>
      <w:rPr>
        <w:rFonts w:asciiTheme="majorBidi" w:hAnsiTheme="majorBidi" w:cstheme="majorBidi"/>
        <w:b/>
        <w:bCs/>
        <w:szCs w:val="28"/>
      </w:rPr>
      <w:t>Al-Nahrain University</w:t>
    </w:r>
  </w:p>
  <w:p>
    <w:pPr>
      <w:pStyle w:val="4"/>
      <w:ind w:left="-900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College of Medicine</w:t>
    </w:r>
  </w:p>
  <w:p>
    <w:pPr>
      <w:pStyle w:val="4"/>
      <w:ind w:left="-900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Department of Human Anatomy</w:t>
    </w:r>
  </w:p>
  <w:p>
    <w:pPr>
      <w:pStyle w:val="15"/>
      <w:bidi w:val="0"/>
      <w:jc w:val="center"/>
      <w:rPr>
        <w:rFonts w:asciiTheme="majorBidi" w:hAnsiTheme="majorBidi" w:cstheme="majorBidi"/>
        <w:lang w:bidi="ar-IQ"/>
      </w:rPr>
    </w:pPr>
    <w:r>
      <w:rPr>
        <w:rFonts w:asciiTheme="majorBidi" w:hAnsiTheme="majorBidi" w:cstheme="majorBidi"/>
        <w:b/>
        <w:bCs/>
        <w:sz w:val="28"/>
        <w:szCs w:val="28"/>
      </w:rPr>
      <w:t>Section of Histology &amp; Embryology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B21AD"/>
    <w:multiLevelType w:val="multilevel"/>
    <w:tmpl w:val="17BB21AD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hint="default" w:ascii="Wingdings" w:hAnsi="Wingdings"/>
      </w:rPr>
    </w:lvl>
  </w:abstractNum>
  <w:abstractNum w:abstractNumId="1">
    <w:nsid w:val="38EE2FDB"/>
    <w:multiLevelType w:val="multilevel"/>
    <w:tmpl w:val="38EE2F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8E622C"/>
    <w:multiLevelType w:val="multilevel"/>
    <w:tmpl w:val="438E62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1370"/>
    <w:multiLevelType w:val="multilevel"/>
    <w:tmpl w:val="4530137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60D4"/>
    <w:multiLevelType w:val="multilevel"/>
    <w:tmpl w:val="624960D4"/>
    <w:lvl w:ilvl="0" w:tentative="0">
      <w:start w:val="1"/>
      <w:numFmt w:val="decimal"/>
      <w:lvlText w:val="%1."/>
      <w:lvlJc w:val="left"/>
      <w:pPr>
        <w:tabs>
          <w:tab w:val="left" w:pos="270"/>
        </w:tabs>
        <w:ind w:left="27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990"/>
        </w:tabs>
        <w:ind w:left="99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710"/>
        </w:tabs>
        <w:ind w:left="1710" w:hanging="180"/>
      </w:pPr>
    </w:lvl>
    <w:lvl w:ilvl="3" w:tentative="0">
      <w:start w:val="1"/>
      <w:numFmt w:val="decimal"/>
      <w:lvlText w:val="%4."/>
      <w:lvlJc w:val="left"/>
      <w:pPr>
        <w:tabs>
          <w:tab w:val="left" w:pos="2430"/>
        </w:tabs>
        <w:ind w:left="243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50"/>
        </w:tabs>
        <w:ind w:left="315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870"/>
        </w:tabs>
        <w:ind w:left="3870" w:hanging="180"/>
      </w:pPr>
    </w:lvl>
    <w:lvl w:ilvl="6" w:tentative="0">
      <w:start w:val="1"/>
      <w:numFmt w:val="decimal"/>
      <w:lvlText w:val="%7."/>
      <w:lvlJc w:val="left"/>
      <w:pPr>
        <w:tabs>
          <w:tab w:val="left" w:pos="4590"/>
        </w:tabs>
        <w:ind w:left="459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10"/>
        </w:tabs>
        <w:ind w:left="531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030"/>
        </w:tabs>
        <w:ind w:left="60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50"/>
    <w:rsid w:val="003162AA"/>
    <w:rsid w:val="00411ECF"/>
    <w:rsid w:val="00564289"/>
    <w:rsid w:val="005827B1"/>
    <w:rsid w:val="005F6F1C"/>
    <w:rsid w:val="006601BB"/>
    <w:rsid w:val="006B31D9"/>
    <w:rsid w:val="007706BB"/>
    <w:rsid w:val="00794ACB"/>
    <w:rsid w:val="009B6F52"/>
    <w:rsid w:val="00A219B6"/>
    <w:rsid w:val="00BE5F0F"/>
    <w:rsid w:val="00C54C9F"/>
    <w:rsid w:val="00C80221"/>
    <w:rsid w:val="00D81B50"/>
    <w:rsid w:val="00E21266"/>
    <w:rsid w:val="00F35D45"/>
    <w:rsid w:val="00F8495C"/>
    <w:rsid w:val="00FB68B9"/>
    <w:rsid w:val="00FE5DD2"/>
    <w:rsid w:val="11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bidi w:val="0"/>
      <w:spacing w:after="0" w:line="240" w:lineRule="auto"/>
      <w:jc w:val="center"/>
      <w:outlineLvl w:val="0"/>
    </w:pPr>
    <w:rPr>
      <w:rFonts w:ascii="Times New Roman" w:hAnsi="Times New Roman" w:eastAsia="Times New Roman" w:cs="Traditional Arabic"/>
      <w:sz w:val="28"/>
      <w:szCs w:val="20"/>
    </w:rPr>
  </w:style>
  <w:style w:type="paragraph" w:styleId="3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4">
    <w:name w:val="heading 4"/>
    <w:basedOn w:val="1"/>
    <w:next w:val="1"/>
    <w:link w:val="23"/>
    <w:qFormat/>
    <w:uiPriority w:val="0"/>
    <w:pPr>
      <w:keepNext/>
      <w:bidi w:val="0"/>
      <w:spacing w:after="0" w:line="240" w:lineRule="auto"/>
      <w:outlineLvl w:val="3"/>
    </w:pPr>
    <w:rPr>
      <w:rFonts w:ascii="Times New Roman" w:hAnsi="Times New Roman" w:eastAsia="Times New Roman" w:cs="Traditional Arabic"/>
      <w:sz w:val="24"/>
      <w:szCs w:val="20"/>
    </w:rPr>
  </w:style>
  <w:style w:type="paragraph" w:styleId="5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6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 Indent"/>
    <w:basedOn w:val="1"/>
    <w:link w:val="30"/>
    <w:unhideWhenUsed/>
    <w:uiPriority w:val="99"/>
    <w:pPr>
      <w:spacing w:after="120"/>
      <w:ind w:left="360"/>
    </w:pPr>
  </w:style>
  <w:style w:type="paragraph" w:styleId="10">
    <w:name w:val="Body Text Indent 2"/>
    <w:basedOn w:val="1"/>
    <w:link w:val="19"/>
    <w:qFormat/>
    <w:uiPriority w:val="0"/>
    <w:pPr>
      <w:bidi w:val="0"/>
      <w:spacing w:after="0" w:line="240" w:lineRule="auto"/>
      <w:ind w:left="331" w:hanging="331"/>
    </w:pPr>
    <w:rPr>
      <w:rFonts w:ascii="Times New Roman" w:hAnsi="Times New Roman" w:eastAsia="Times New Roman" w:cs="Traditional Arabic"/>
      <w:sz w:val="28"/>
      <w:szCs w:val="20"/>
    </w:rPr>
  </w:style>
  <w:style w:type="paragraph" w:styleId="11">
    <w:name w:val="Body Text Indent 3"/>
    <w:basedOn w:val="1"/>
    <w:link w:val="29"/>
    <w:unhideWhenUsed/>
    <w:uiPriority w:val="99"/>
    <w:pPr>
      <w:spacing w:after="120"/>
      <w:ind w:left="360"/>
    </w:pPr>
    <w:rPr>
      <w:sz w:val="16"/>
      <w:szCs w:val="16"/>
    </w:rPr>
  </w:style>
  <w:style w:type="paragraph" w:styleId="12">
    <w:name w:val="caption"/>
    <w:basedOn w:val="1"/>
    <w:next w:val="1"/>
    <w:qFormat/>
    <w:uiPriority w:val="0"/>
    <w:pPr>
      <w:bidi w:val="0"/>
      <w:spacing w:after="0" w:line="240" w:lineRule="auto"/>
      <w:ind w:left="2880"/>
    </w:pPr>
    <w:rPr>
      <w:rFonts w:ascii="Arial" w:hAnsi="Arial" w:eastAsia="Times New Roman" w:cs="Traditional Arabic"/>
      <w:b/>
      <w:bCs/>
      <w:i/>
      <w:iCs/>
      <w:sz w:val="28"/>
      <w:szCs w:val="20"/>
    </w:rPr>
  </w:style>
  <w:style w:type="paragraph" w:styleId="13">
    <w:name w:val="Document Map"/>
    <w:basedOn w:val="1"/>
    <w:link w:val="24"/>
    <w:semiHidden/>
    <w:uiPriority w:val="0"/>
    <w:pPr>
      <w:shd w:val="clear" w:color="auto" w:fill="000080"/>
      <w:spacing w:after="0" w:line="240" w:lineRule="auto"/>
    </w:pPr>
    <w:rPr>
      <w:rFonts w:ascii="Tahoma" w:hAnsi="Times New Roman" w:eastAsia="Times New Roman" w:cs="Traditional Arabic"/>
      <w:sz w:val="20"/>
      <w:szCs w:val="20"/>
    </w:rPr>
  </w:style>
  <w:style w:type="paragraph" w:styleId="14">
    <w:name w:val="footer"/>
    <w:basedOn w:val="1"/>
    <w:link w:val="21"/>
    <w:unhideWhenUsed/>
    <w:uiPriority w:val="0"/>
    <w:pPr>
      <w:tabs>
        <w:tab w:val="center" w:pos="4153"/>
        <w:tab w:val="right" w:pos="8306"/>
      </w:tabs>
      <w:spacing w:after="0" w:line="240" w:lineRule="auto"/>
    </w:pPr>
  </w:style>
  <w:style w:type="paragraph" w:styleId="15">
    <w:name w:val="header"/>
    <w:basedOn w:val="1"/>
    <w:link w:val="20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7"/>
    <w:uiPriority w:val="0"/>
  </w:style>
  <w:style w:type="table" w:styleId="18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Body Text Indent 2 Char"/>
    <w:basedOn w:val="7"/>
    <w:link w:val="10"/>
    <w:uiPriority w:val="0"/>
    <w:rPr>
      <w:rFonts w:ascii="Times New Roman" w:hAnsi="Times New Roman" w:eastAsia="Times New Roman" w:cs="Traditional Arabic"/>
      <w:sz w:val="28"/>
      <w:szCs w:val="20"/>
    </w:rPr>
  </w:style>
  <w:style w:type="character" w:customStyle="1" w:styleId="20">
    <w:name w:val="Header Char"/>
    <w:basedOn w:val="7"/>
    <w:link w:val="15"/>
    <w:semiHidden/>
    <w:uiPriority w:val="99"/>
  </w:style>
  <w:style w:type="character" w:customStyle="1" w:styleId="21">
    <w:name w:val="Footer Char"/>
    <w:basedOn w:val="7"/>
    <w:link w:val="14"/>
    <w:semiHidden/>
    <w:uiPriority w:val="99"/>
  </w:style>
  <w:style w:type="character" w:customStyle="1" w:styleId="22">
    <w:name w:val="Heading 1 Char"/>
    <w:basedOn w:val="7"/>
    <w:link w:val="2"/>
    <w:uiPriority w:val="0"/>
    <w:rPr>
      <w:rFonts w:ascii="Times New Roman" w:hAnsi="Times New Roman" w:eastAsia="Times New Roman" w:cs="Traditional Arabic"/>
      <w:sz w:val="28"/>
      <w:szCs w:val="20"/>
    </w:rPr>
  </w:style>
  <w:style w:type="character" w:customStyle="1" w:styleId="23">
    <w:name w:val="Heading 4 Char"/>
    <w:basedOn w:val="7"/>
    <w:link w:val="4"/>
    <w:uiPriority w:val="0"/>
    <w:rPr>
      <w:rFonts w:ascii="Times New Roman" w:hAnsi="Times New Roman" w:eastAsia="Times New Roman" w:cs="Traditional Arabic"/>
      <w:sz w:val="24"/>
      <w:szCs w:val="20"/>
    </w:rPr>
  </w:style>
  <w:style w:type="character" w:customStyle="1" w:styleId="24">
    <w:name w:val="Document Map Char"/>
    <w:basedOn w:val="7"/>
    <w:link w:val="13"/>
    <w:semiHidden/>
    <w:uiPriority w:val="0"/>
    <w:rPr>
      <w:rFonts w:ascii="Tahoma" w:hAnsi="Times New Roman" w:eastAsia="Times New Roman" w:cs="Traditional Arabic"/>
      <w:sz w:val="20"/>
      <w:szCs w:val="20"/>
      <w:shd w:val="clear" w:color="auto" w:fill="000080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Heading 3 Char"/>
    <w:basedOn w:val="7"/>
    <w:link w:val="3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27">
    <w:name w:val="Heading 7 Char"/>
    <w:basedOn w:val="7"/>
    <w:link w:val="5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8">
    <w:name w:val="Heading 9 Char"/>
    <w:basedOn w:val="7"/>
    <w:link w:val="6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9">
    <w:name w:val="Body Text Indent 3 Char"/>
    <w:basedOn w:val="7"/>
    <w:link w:val="11"/>
    <w:uiPriority w:val="99"/>
    <w:rPr>
      <w:sz w:val="16"/>
      <w:szCs w:val="16"/>
    </w:rPr>
  </w:style>
  <w:style w:type="character" w:customStyle="1" w:styleId="30">
    <w:name w:val="Body Text Indent Char"/>
    <w:basedOn w:val="7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682</Words>
  <Characters>3889</Characters>
  <Lines>32</Lines>
  <Paragraphs>9</Paragraphs>
  <TotalTime>23</TotalTime>
  <ScaleCrop>false</ScaleCrop>
  <LinksUpToDate>false</LinksUpToDate>
  <CharactersWithSpaces>4562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2023-09-08T15:13:00Z</dcterms:created>
  <dc:creator>ok center</dc:creator>
  <cp:lastModifiedBy>user</cp:lastModifiedBy>
  <dcterms:modified xsi:type="dcterms:W3CDTF">2023-12-12T22:28:56Z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BE0055465EAF47E0981FCCDCDA08B234_12</vt:lpwstr>
  </property>
</Properties>
</file>