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E" w:rsidRPr="00215662" w:rsidRDefault="00570D35" w:rsidP="003309ED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-21.75pt;width:205.5pt;height:192pt;z-index:251657216" arcsize="10923f">
            <v:shadow on="t" opacity=".5" offset="6pt,-6pt"/>
            <v:textbox style="mso-next-textbox:#_x0000_s1027">
              <w:txbxContent>
                <w:p w:rsidR="009153C5" w:rsidRPr="00E82877" w:rsidRDefault="009153C5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Al-Nahrain </w:t>
                  </w:r>
                </w:p>
                <w:p w:rsidR="009153C5" w:rsidRPr="00E82877" w:rsidRDefault="009153C5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Medicine</w:t>
                  </w:r>
                </w:p>
                <w:p w:rsidR="009153C5" w:rsidRPr="00E82877" w:rsidRDefault="009153C5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9153C5" w:rsidRPr="00E82877" w:rsidRDefault="009153C5" w:rsidP="006B24AF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E34C26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6B24AF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PhD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/ </w:t>
                  </w:r>
                  <w:r w:rsidR="00207762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First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semester</w:t>
                  </w:r>
                </w:p>
                <w:p w:rsidR="009D54C6" w:rsidRDefault="009153C5" w:rsidP="00C2300C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</w:t>
                  </w:r>
                  <w:r w:rsidR="00950DF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turer </w:t>
                  </w:r>
                  <w:r w:rsidR="002C7154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name</w:t>
                  </w:r>
                  <w:r w:rsidR="002C7154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 Dr</w:t>
                  </w:r>
                  <w:r w:rsidR="002C71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. Najat Abdul-Razaq, </w:t>
                  </w:r>
                  <w:r w:rsidR="00C2300C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Dr. Rayah S. Baban</w:t>
                  </w:r>
                  <w:r w:rsidR="002C71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and </w:t>
                  </w:r>
                  <w:r w:rsidR="00C230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Dr. Estabraq Abdul Rasoul</w:t>
                  </w:r>
                </w:p>
                <w:p w:rsidR="00950DF8" w:rsidRPr="00E82877" w:rsidRDefault="00950DF8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2C7154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Prof. and 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Assistant Professor</w:t>
                  </w:r>
                </w:p>
                <w:p w:rsidR="009153C5" w:rsidRPr="00E82877" w:rsidRDefault="00950DF8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Place </w:t>
                  </w:r>
                  <w:r w:rsidR="0090383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o</w:t>
                  </w: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 work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: Chemistry and Biochemistry </w:t>
                  </w:r>
                  <w:r w:rsidR="008C20E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A71EBE"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A71EBE" w:rsidRPr="00A71EBE" w:rsidRDefault="00A71EBE" w:rsidP="00B75614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040F2B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9153C5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9153C5" w:rsidRPr="00E82877" w:rsidRDefault="009153C5" w:rsidP="0028034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</w:t>
                  </w:r>
                  <w:r w:rsidR="00280345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ientific Research</w:t>
                  </w:r>
                </w:p>
              </w:txbxContent>
            </v:textbox>
            <w10:wrap anchorx="page"/>
          </v:roundrect>
        </w:pict>
      </w:r>
      <w:r w:rsidR="00D4530A">
        <w:rPr>
          <w:rFonts w:cs="Akhbar MT"/>
          <w:b/>
          <w:bCs/>
          <w:sz w:val="28"/>
          <w:szCs w:val="28"/>
          <w:lang w:bidi="ar-IQ"/>
        </w:rPr>
        <w:t xml:space="preserve"> </w:t>
      </w:r>
      <w:r w:rsidR="00215662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</w:t>
      </w:r>
      <w:r w:rsidR="00911B83">
        <w:rPr>
          <w:rFonts w:cs="Akhbar MT" w:hint="cs"/>
          <w:b/>
          <w:bCs/>
          <w:sz w:val="28"/>
          <w:szCs w:val="28"/>
          <w:rtl/>
          <w:lang w:bidi="ar-IQ"/>
        </w:rPr>
        <w:t xml:space="preserve"> </w:t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بسم الله الرحمن الرحيم</w:t>
      </w:r>
    </w:p>
    <w:p w:rsidR="009F306E" w:rsidRDefault="00ED060F" w:rsidP="00AD4951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CF" w:rsidRDefault="00DD3ECF" w:rsidP="009F30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F306E" w:rsidRDefault="003943BE" w:rsidP="003654B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Flow up of implementation cel</w:t>
      </w:r>
      <w:r w:rsidR="003654B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A3887" w:rsidRDefault="000D3F7F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A3887" w:rsidRDefault="003309ED" w:rsidP="009E278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Dr. </w:t>
            </w:r>
            <w:r w:rsidR="009E2787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Rayah Sulaiman Baban</w:t>
            </w:r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A388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A3887" w:rsidRDefault="00EA388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rayah.baban@colmed-alnahrain.edu.iq</w:t>
            </w:r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A388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125BE8" w:rsidRPr="00EA3887" w:rsidRDefault="00BF7B62" w:rsidP="00FC4C3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Clinical </w:t>
            </w:r>
            <w:r w:rsidR="00FC4C3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Bioc</w:t>
            </w:r>
            <w:r w:rsidR="006B24A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hemistry</w:t>
            </w: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A388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A3887" w:rsidRDefault="00B6256A" w:rsidP="002C7154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Dr. </w:t>
            </w:r>
            <w:r w:rsidR="002C715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Najat Abdul-Razaq Hasan</w:t>
            </w:r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E34C26" w:rsidRPr="00EA388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CE00FA" w:rsidRPr="00EA388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52261C" w:rsidRPr="00627444" w:rsidRDefault="00A63B0C" w:rsidP="003111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r w:rsidRPr="00A63B0C">
              <w:rPr>
                <w:rFonts w:ascii="Times New Roman" w:hAnsi="Times New Roman" w:cs="Times New Roman"/>
              </w:rPr>
              <w:t xml:space="preserve"> </w:t>
            </w:r>
            <w:r w:rsidR="00627444">
              <w:t xml:space="preserve">The </w:t>
            </w:r>
            <w:r w:rsidR="00311164">
              <w:t xml:space="preserve">true objective of clinical biochemistry course is </w:t>
            </w:r>
            <w:r w:rsidR="00627444">
              <w:t xml:space="preserve">to provide an advanced understanding of the core principles and topics of </w:t>
            </w:r>
            <w:r w:rsidR="00311164">
              <w:t>clinical b</w:t>
            </w:r>
            <w:r w:rsidR="00627444">
              <w:t>iochemistr</w:t>
            </w:r>
            <w:r w:rsidR="00311164">
              <w:t xml:space="preserve">y and their experimental basis </w:t>
            </w:r>
            <w:r w:rsidR="00627444">
              <w:t xml:space="preserve">to enable students to acquire a specialized knowledge and understanding of </w:t>
            </w:r>
            <w:r w:rsidR="00311164">
              <w:t xml:space="preserve">clinical biochemistry </w:t>
            </w:r>
            <w:r w:rsidR="00627444">
              <w:t>lecture series and a research project.</w:t>
            </w: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E34C26" w:rsidRPr="00EA388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A388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593EB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Theory course 3 hrs/w</w:t>
            </w:r>
            <w:r w:rsidR="00D07C5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; Practical 3hrs/w</w:t>
            </w:r>
          </w:p>
          <w:p w:rsidR="00BE20D5" w:rsidRPr="00EA388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FC1F5E" w:rsidRPr="00EA388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2E2AA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Textboo</w:t>
            </w:r>
            <w:r w:rsidR="001A0F0C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FC1F5E" w:rsidRPr="00EA388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Clinical chemistry and metabolic medicine, Martin A. Crook, 7</w:t>
            </w:r>
            <w:r w:rsidRPr="00A63B0C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edition(2006)</w:t>
            </w:r>
          </w:p>
          <w:p w:rsidR="001A0F0C" w:rsidRPr="00EA388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A0F0C" w:rsidRPr="00EA388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26FBC" w:rsidRPr="00E82877" w:rsidTr="00E82877">
        <w:tc>
          <w:tcPr>
            <w:tcW w:w="2802" w:type="dxa"/>
            <w:vMerge w:val="restart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Laboratory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</w:tr>
      <w:tr w:rsidR="00D26FBC" w:rsidRPr="00E82877" w:rsidTr="00E82877">
        <w:tc>
          <w:tcPr>
            <w:tcW w:w="2802" w:type="dxa"/>
            <w:vMerge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A3887" w:rsidRDefault="00F1195C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20%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F1195C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10%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A3887" w:rsidRDefault="00F1195C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70%</w:t>
            </w:r>
          </w:p>
        </w:tc>
      </w:tr>
      <w:tr w:rsidR="00DF2FC6" w:rsidRPr="00E82877" w:rsidTr="00E82877">
        <w:tc>
          <w:tcPr>
            <w:tcW w:w="2802" w:type="dxa"/>
            <w:shd w:val="clear" w:color="auto" w:fill="auto"/>
          </w:tcPr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DF2FC6" w:rsidRPr="00EA388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General Notes</w:t>
            </w:r>
          </w:p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DF2FC6" w:rsidRPr="00EA388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Type here general notes regarding the co</w:t>
            </w:r>
            <w:r w:rsidR="00BE7733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urse</w:t>
            </w:r>
          </w:p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176509" w:rsidRDefault="00176509" w:rsidP="000D3F7F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A57719" w:rsidRDefault="00A5771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6B24AF" w:rsidRDefault="006B24AF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EA3887" w:rsidRDefault="00EA3887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2C7154" w:rsidRDefault="002C7154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2C7154" w:rsidRDefault="002C7154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04C47" w:rsidRPr="00215662" w:rsidRDefault="00570D35" w:rsidP="00504C4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lastRenderedPageBreak/>
        <w:pict>
          <v:roundrect id="_x0000_s1032" style="position:absolute;left:0;text-align:left;margin-left:356.25pt;margin-top:15.75pt;width:193.5pt;height:172.8pt;z-index:251658240" arcsize="10923f">
            <v:shadow on="t" opacity=".5" offset="6pt,-6pt"/>
            <v:textbox style="mso-next-textbox:#_x0000_s1032">
              <w:txbxContent>
                <w:p w:rsidR="00504C47" w:rsidRPr="009D54C6" w:rsidRDefault="00504C47" w:rsidP="001144C1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B6256A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Al-Nahrain </w:t>
                  </w:r>
                </w:p>
                <w:p w:rsidR="00504C47" w:rsidRPr="009D54C6" w:rsidRDefault="00504C47" w:rsidP="001144C1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B6256A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Medicine </w:t>
                  </w:r>
                </w:p>
                <w:p w:rsidR="00504C47" w:rsidRPr="009D54C6" w:rsidRDefault="0025105F" w:rsidP="001144C1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504C47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B6256A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504C47" w:rsidRPr="009D54C6" w:rsidRDefault="00504C47" w:rsidP="006B24AF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395CCD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95CC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6B24AF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PhD</w:t>
                  </w:r>
                  <w:r w:rsidR="00395CC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/ First semester</w:t>
                  </w:r>
                </w:p>
                <w:p w:rsidR="00A57719" w:rsidRDefault="00A57719" w:rsidP="00A57719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 Dr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. Najat Abdul-Razaq, </w:t>
                  </w: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Dr. Rayah S. Baban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and Dr. Estabraq Abdul Rasoul</w:t>
                  </w:r>
                </w:p>
                <w:p w:rsidR="00504C47" w:rsidRPr="00E82877" w:rsidRDefault="0025105F" w:rsidP="00395CCD">
                  <w:pPr>
                    <w:bidi w:val="0"/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B723A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Prof. and 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Assistant Professor</w:t>
                  </w:r>
                </w:p>
                <w:p w:rsidR="00504C47" w:rsidRPr="009D54C6" w:rsidRDefault="00504C47" w:rsidP="009D54C6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Place of </w:t>
                  </w:r>
                  <w:proofErr w:type="gramStart"/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work</w:t>
                  </w:r>
                  <w:r w:rsidR="009D54C6" w:rsidRPr="009D54C6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="009D54C6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proofErr w:type="gramEnd"/>
                  <w:r w:rsidR="009D54C6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 Department</w:t>
                  </w:r>
                  <w:r w:rsidRPr="009D54C6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</w:p>
                <w:p w:rsidR="00504C47" w:rsidRPr="00A71EBE" w:rsidRDefault="00504C47" w:rsidP="00504C47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33" style="position:absolute;left:0;text-align:left;margin-left:-16.5pt;margin-top:15.75pt;width:213.75pt;height:133.5pt;z-index:251659264" arcsize="10923f">
            <v:shadow on="t" opacity=".5" offset="-6pt,-6pt"/>
            <v:textbox style="mso-next-textbox:#_x0000_s1033">
              <w:txbxContent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&amp; </w:t>
                  </w:r>
                  <w:r w:rsidR="0025105F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Scientific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Research</w:t>
                  </w:r>
                </w:p>
              </w:txbxContent>
            </v:textbox>
            <w10:wrap anchorx="page"/>
          </v:roundrect>
        </w:pict>
      </w:r>
      <w:r w:rsidR="00504C47">
        <w:rPr>
          <w:rFonts w:cs="Akhbar MT"/>
          <w:b/>
          <w:bCs/>
          <w:sz w:val="28"/>
          <w:szCs w:val="28"/>
          <w:lang w:bidi="ar-IQ"/>
        </w:rPr>
        <w:tab/>
      </w:r>
    </w:p>
    <w:p w:rsidR="00504C47" w:rsidRDefault="00ED060F" w:rsidP="00504C47">
      <w:pPr>
        <w:jc w:val="center"/>
        <w:rPr>
          <w:rFonts w:cs="Akhbar MT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1647825" cy="12573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3969"/>
        <w:gridCol w:w="1984"/>
        <w:gridCol w:w="2636"/>
      </w:tblGrid>
      <w:tr w:rsidR="00504C47" w:rsidRPr="00E82877" w:rsidTr="00726279">
        <w:trPr>
          <w:cantSplit/>
          <w:trHeight w:val="1134"/>
        </w:trPr>
        <w:tc>
          <w:tcPr>
            <w:tcW w:w="1418" w:type="dxa"/>
            <w:shd w:val="clear" w:color="auto" w:fill="BFBFBF"/>
            <w:textDirection w:val="tbRl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51" w:type="dxa"/>
            <w:shd w:val="clear" w:color="auto" w:fill="BFBFBF"/>
          </w:tcPr>
          <w:p w:rsidR="00192A59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  <w:p w:rsidR="00504C47" w:rsidRPr="00192A59" w:rsidRDefault="00504C47" w:rsidP="00192A59">
            <w:pPr>
              <w:bidi w:val="0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  <w:shd w:val="clear" w:color="auto" w:fill="BFBFBF"/>
          </w:tcPr>
          <w:p w:rsidR="00504C47" w:rsidRPr="00E82877" w:rsidRDefault="00B249E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Topic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s</w:t>
            </w:r>
            <w:r w:rsidR="00504C47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Covered</w:t>
            </w:r>
          </w:p>
        </w:tc>
        <w:tc>
          <w:tcPr>
            <w:tcW w:w="1984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Experiment Assignments</w:t>
            </w:r>
          </w:p>
        </w:tc>
        <w:tc>
          <w:tcPr>
            <w:tcW w:w="2636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504C47" w:rsidRPr="00E82877" w:rsidTr="00726279">
        <w:tc>
          <w:tcPr>
            <w:tcW w:w="1418" w:type="dxa"/>
            <w:shd w:val="clear" w:color="auto" w:fill="auto"/>
          </w:tcPr>
          <w:p w:rsidR="00504C47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504C47" w:rsidRPr="006D7AAC" w:rsidRDefault="00562A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  <w:t>Abnormal carbohydrate metabolism</w:t>
            </w:r>
          </w:p>
        </w:tc>
        <w:tc>
          <w:tcPr>
            <w:tcW w:w="1984" w:type="dxa"/>
            <w:shd w:val="clear" w:color="auto" w:fill="auto"/>
          </w:tcPr>
          <w:p w:rsidR="00504C47" w:rsidRPr="006D7AAC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Glucose tolerance Test</w:t>
            </w:r>
          </w:p>
        </w:tc>
        <w:tc>
          <w:tcPr>
            <w:tcW w:w="2636" w:type="dxa"/>
            <w:shd w:val="clear" w:color="auto" w:fill="auto"/>
          </w:tcPr>
          <w:p w:rsidR="00504C47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Dr. Rayah S. Baban</w:t>
            </w:r>
          </w:p>
        </w:tc>
      </w:tr>
      <w:tr w:rsidR="008E08C9" w:rsidRPr="00E82877" w:rsidTr="00726279">
        <w:tc>
          <w:tcPr>
            <w:tcW w:w="1418" w:type="dxa"/>
            <w:shd w:val="clear" w:color="auto" w:fill="auto"/>
          </w:tcPr>
          <w:p w:rsidR="008E08C9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08C9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8E08C9" w:rsidRPr="006D7AAC" w:rsidRDefault="00562A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  <w:t>Amino acid and protein metabolic disorders</w:t>
            </w:r>
          </w:p>
        </w:tc>
        <w:tc>
          <w:tcPr>
            <w:tcW w:w="1984" w:type="dxa"/>
            <w:shd w:val="clear" w:color="auto" w:fill="auto"/>
          </w:tcPr>
          <w:p w:rsidR="008E08C9" w:rsidRPr="006D7AAC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Total protein and protein electrophoresis</w:t>
            </w:r>
          </w:p>
        </w:tc>
        <w:tc>
          <w:tcPr>
            <w:tcW w:w="2636" w:type="dxa"/>
            <w:shd w:val="clear" w:color="auto" w:fill="auto"/>
          </w:tcPr>
          <w:p w:rsidR="008E08C9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Dr. Rayah S. Baban</w:t>
            </w:r>
          </w:p>
        </w:tc>
      </w:tr>
      <w:tr w:rsidR="007F09F4" w:rsidRPr="00E82877" w:rsidTr="00726279">
        <w:tc>
          <w:tcPr>
            <w:tcW w:w="1418" w:type="dxa"/>
            <w:shd w:val="clear" w:color="auto" w:fill="auto"/>
          </w:tcPr>
          <w:p w:rsidR="007F09F4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7F09F4" w:rsidRPr="00901D13" w:rsidRDefault="00562A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Enzymes; clinical aspects</w:t>
            </w:r>
          </w:p>
        </w:tc>
        <w:tc>
          <w:tcPr>
            <w:tcW w:w="1984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6D7AAC" w:rsidRPr="006D7AAC" w:rsidRDefault="006D7AAC" w:rsidP="006D7A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Dr. Estabraq Abdul Rasoul</w:t>
            </w:r>
          </w:p>
          <w:p w:rsidR="007F09F4" w:rsidRPr="006D7AAC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8E08C9" w:rsidRPr="00E82877" w:rsidTr="00726279">
        <w:tc>
          <w:tcPr>
            <w:tcW w:w="1418" w:type="dxa"/>
            <w:shd w:val="clear" w:color="auto" w:fill="auto"/>
          </w:tcPr>
          <w:p w:rsidR="008E08C9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08C9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8E08C9" w:rsidRPr="006D7AAC" w:rsidRDefault="00562A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  <w:t>Lipoproteins and apoproteins; metabolism and disorders</w:t>
            </w:r>
          </w:p>
        </w:tc>
        <w:tc>
          <w:tcPr>
            <w:tcW w:w="1984" w:type="dxa"/>
            <w:shd w:val="clear" w:color="auto" w:fill="auto"/>
          </w:tcPr>
          <w:p w:rsidR="008E08C9" w:rsidRPr="006D7AAC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Lipid profile test</w:t>
            </w:r>
          </w:p>
        </w:tc>
        <w:tc>
          <w:tcPr>
            <w:tcW w:w="2636" w:type="dxa"/>
            <w:shd w:val="clear" w:color="auto" w:fill="auto"/>
          </w:tcPr>
          <w:p w:rsidR="008E08C9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Dr. Rayah S. Baban</w:t>
            </w:r>
          </w:p>
        </w:tc>
      </w:tr>
      <w:tr w:rsidR="00A63B0C" w:rsidRPr="00E82877" w:rsidTr="00726279">
        <w:tc>
          <w:tcPr>
            <w:tcW w:w="1418" w:type="dxa"/>
            <w:shd w:val="clear" w:color="auto" w:fill="auto"/>
          </w:tcPr>
          <w:p w:rsidR="00A63B0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63B0C" w:rsidRPr="00E82877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A63B0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Water and electrolyte balance disorders</w:t>
            </w:r>
          </w:p>
        </w:tc>
        <w:tc>
          <w:tcPr>
            <w:tcW w:w="1984" w:type="dxa"/>
            <w:shd w:val="clear" w:color="auto" w:fill="auto"/>
          </w:tcPr>
          <w:p w:rsidR="00A63B0C" w:rsidRPr="00E82877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Na-K-estimation method</w:t>
            </w:r>
          </w:p>
        </w:tc>
        <w:tc>
          <w:tcPr>
            <w:tcW w:w="2636" w:type="dxa"/>
            <w:shd w:val="clear" w:color="auto" w:fill="auto"/>
          </w:tcPr>
          <w:p w:rsidR="00A63B0C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6D7AAC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6D7AAC" w:rsidRPr="00E82877" w:rsidTr="00726279">
        <w:tc>
          <w:tcPr>
            <w:tcW w:w="1418" w:type="dxa"/>
            <w:shd w:val="clear" w:color="auto" w:fill="auto"/>
          </w:tcPr>
          <w:p w:rsidR="006D7AAC" w:rsidRPr="00F947FB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darkGray"/>
                <w:lang w:bidi="ar-IQ"/>
              </w:rPr>
            </w:pPr>
            <w:r w:rsidRPr="006D7AAC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7AAC" w:rsidRPr="00E82877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Blood gases, acid-base balance and disorders</w:t>
            </w:r>
          </w:p>
        </w:tc>
        <w:tc>
          <w:tcPr>
            <w:tcW w:w="1984" w:type="dxa"/>
            <w:shd w:val="clear" w:color="auto" w:fill="auto"/>
          </w:tcPr>
          <w:p w:rsidR="006D7AAC" w:rsidRPr="00E82877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CO2 estimation method</w:t>
            </w:r>
          </w:p>
        </w:tc>
        <w:tc>
          <w:tcPr>
            <w:tcW w:w="2636" w:type="dxa"/>
            <w:shd w:val="clear" w:color="auto" w:fill="auto"/>
          </w:tcPr>
          <w:p w:rsidR="006D7AAC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  <w:lang w:bidi="ar-IQ"/>
              </w:rPr>
            </w:pPr>
            <w:r w:rsidRPr="006D7AAC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6D7AAC" w:rsidRPr="00E82877" w:rsidTr="00726279">
        <w:tc>
          <w:tcPr>
            <w:tcW w:w="1418" w:type="dxa"/>
            <w:shd w:val="clear" w:color="auto" w:fill="auto"/>
          </w:tcPr>
          <w:p w:rsidR="006D7AAC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F947FB">
              <w:rPr>
                <w:rFonts w:ascii="Arial" w:hAnsi="Arial"/>
                <w:sz w:val="24"/>
                <w:szCs w:val="24"/>
                <w:highlight w:val="darkGray"/>
                <w:lang w:bidi="ar-IQ"/>
              </w:rPr>
              <w:t>Mid Exam</w:t>
            </w:r>
          </w:p>
        </w:tc>
        <w:tc>
          <w:tcPr>
            <w:tcW w:w="851" w:type="dxa"/>
            <w:shd w:val="clear" w:color="auto" w:fill="auto"/>
          </w:tcPr>
          <w:p w:rsidR="006D7AAC" w:rsidRPr="00E82877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D7AAC" w:rsidRPr="00E82877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6D7AAC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  <w:lang w:bidi="ar-IQ"/>
              </w:rPr>
            </w:pPr>
          </w:p>
        </w:tc>
      </w:tr>
      <w:tr w:rsidR="00F947FB" w:rsidRPr="00E82877" w:rsidTr="00726279">
        <w:tc>
          <w:tcPr>
            <w:tcW w:w="1418" w:type="dxa"/>
            <w:shd w:val="clear" w:color="auto" w:fill="auto"/>
          </w:tcPr>
          <w:p w:rsidR="00F947FB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947FB" w:rsidRPr="00E82877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F947FB" w:rsidRPr="00901D13" w:rsidRDefault="006D7AAC" w:rsidP="00BE20D3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Liver function and disorders</w:t>
            </w:r>
          </w:p>
        </w:tc>
        <w:tc>
          <w:tcPr>
            <w:tcW w:w="1984" w:type="dxa"/>
            <w:shd w:val="clear" w:color="auto" w:fill="auto"/>
          </w:tcPr>
          <w:p w:rsidR="00F947FB" w:rsidRPr="00E82877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LFT</w:t>
            </w:r>
          </w:p>
        </w:tc>
        <w:tc>
          <w:tcPr>
            <w:tcW w:w="2636" w:type="dxa"/>
            <w:shd w:val="clear" w:color="auto" w:fill="auto"/>
          </w:tcPr>
          <w:p w:rsidR="00F947FB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6D7AAC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. Najat Abdul-Razaq </w:t>
            </w:r>
            <w:r w:rsidR="008E08C9"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</w:t>
            </w:r>
          </w:p>
        </w:tc>
      </w:tr>
      <w:tr w:rsidR="00F947FB" w:rsidRPr="00E82877" w:rsidTr="00726279">
        <w:tc>
          <w:tcPr>
            <w:tcW w:w="1418" w:type="dxa"/>
            <w:shd w:val="clear" w:color="auto" w:fill="auto"/>
          </w:tcPr>
          <w:p w:rsidR="00F947FB" w:rsidRPr="00E82877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947FB" w:rsidRPr="00E82877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F947FB" w:rsidRPr="00901D13" w:rsidRDefault="006D7AAC" w:rsidP="00BE20D3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Renal function and disorders</w:t>
            </w:r>
          </w:p>
        </w:tc>
        <w:tc>
          <w:tcPr>
            <w:tcW w:w="1984" w:type="dxa"/>
            <w:shd w:val="clear" w:color="auto" w:fill="auto"/>
          </w:tcPr>
          <w:p w:rsidR="00F947FB" w:rsidRPr="00E82877" w:rsidRDefault="0072627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RFT</w:t>
            </w:r>
          </w:p>
        </w:tc>
        <w:tc>
          <w:tcPr>
            <w:tcW w:w="2636" w:type="dxa"/>
            <w:shd w:val="clear" w:color="auto" w:fill="auto"/>
          </w:tcPr>
          <w:p w:rsidR="00F947FB" w:rsidRPr="006D7AAC" w:rsidRDefault="008E08C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6D7AAC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F947FB" w:rsidRPr="00E82877" w:rsidTr="00726279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6D7AAC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Gastro-intestinal and pancreatic test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72627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Amylase determination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6D7AAC" w:rsidP="006D7AAC">
            <w:pPr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Dr. Estabraq Abdul Rasoul</w:t>
            </w:r>
          </w:p>
        </w:tc>
      </w:tr>
      <w:tr w:rsidR="00F947FB" w:rsidRPr="00E82877" w:rsidTr="00726279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6D7AAC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Cardiac ischemia markers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72627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e.g.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Ck,LDH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enzyme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6D7AAC" w:rsidRDefault="006D7AAC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6D7AAC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6D7AAC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F947FB" w:rsidRPr="00E82877" w:rsidTr="00726279"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F947FB" w:rsidRPr="006D7AAC" w:rsidRDefault="006D7AA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F947FB" w:rsidRPr="006D7AAC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F947FB" w:rsidRPr="006D7AAC" w:rsidRDefault="006D7AAC" w:rsidP="006D7AA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  <w:t>Tumor marker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F947FB" w:rsidRPr="006D7AAC" w:rsidRDefault="0072627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e.g. Acid </w:t>
            </w:r>
            <w:proofErr w:type="spellStart"/>
            <w:r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phosphatase</w:t>
            </w:r>
            <w:proofErr w:type="spellEnd"/>
            <w:r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, </w:t>
            </w:r>
          </w:p>
        </w:tc>
        <w:tc>
          <w:tcPr>
            <w:tcW w:w="2636" w:type="dxa"/>
            <w:tcBorders>
              <w:top w:val="single" w:sz="4" w:space="0" w:color="000000"/>
            </w:tcBorders>
            <w:shd w:val="clear" w:color="auto" w:fill="auto"/>
          </w:tcPr>
          <w:p w:rsidR="00F947FB" w:rsidRPr="006D7AAC" w:rsidRDefault="008E08C9" w:rsidP="00451B9A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6D7AAC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Dr. Rayah S. Baban</w:t>
            </w:r>
          </w:p>
        </w:tc>
      </w:tr>
    </w:tbl>
    <w:p w:rsidR="00E4583C" w:rsidRPr="00E82877" w:rsidRDefault="007F09F4" w:rsidP="00504C47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</w:t>
      </w:r>
      <w:r w:rsidR="00D812BC" w:rsidRPr="00E82877">
        <w:rPr>
          <w:rFonts w:ascii="Arial" w:hAnsi="Arial"/>
          <w:b/>
          <w:bCs/>
          <w:sz w:val="24"/>
          <w:szCs w:val="24"/>
          <w:lang w:bidi="ar-IQ"/>
        </w:rPr>
        <w:t>gnature:</w:t>
      </w:r>
    </w:p>
    <w:sectPr w:rsidR="00E4583C" w:rsidRPr="00E8287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425"/>
    <w:multiLevelType w:val="hybridMultilevel"/>
    <w:tmpl w:val="7F1A7DE4"/>
    <w:lvl w:ilvl="0" w:tplc="2E0A7C0C">
      <w:start w:val="1"/>
      <w:numFmt w:val="decimal"/>
      <w:lvlText w:val="%1-"/>
      <w:lvlJc w:val="left"/>
      <w:pPr>
        <w:ind w:left="720" w:hanging="360"/>
      </w:pPr>
      <w:rPr>
        <w:rFonts w:ascii="ArialMT" w:hAnsi="ArialMT" w:cs="Arial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EF7"/>
    <w:multiLevelType w:val="hybridMultilevel"/>
    <w:tmpl w:val="5BA41282"/>
    <w:lvl w:ilvl="0" w:tplc="FCDC24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09DE"/>
    <w:multiLevelType w:val="hybridMultilevel"/>
    <w:tmpl w:val="91D4F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62"/>
    <w:rsid w:val="000124B7"/>
    <w:rsid w:val="000150B6"/>
    <w:rsid w:val="00040F2B"/>
    <w:rsid w:val="00095CBC"/>
    <w:rsid w:val="00097F20"/>
    <w:rsid w:val="000A12D0"/>
    <w:rsid w:val="000C45D0"/>
    <w:rsid w:val="000D3F7F"/>
    <w:rsid w:val="000D59FE"/>
    <w:rsid w:val="00114268"/>
    <w:rsid w:val="001144C1"/>
    <w:rsid w:val="00125BE8"/>
    <w:rsid w:val="00176509"/>
    <w:rsid w:val="00191B0D"/>
    <w:rsid w:val="00192A59"/>
    <w:rsid w:val="001A0F0C"/>
    <w:rsid w:val="001A47F9"/>
    <w:rsid w:val="001B54F7"/>
    <w:rsid w:val="001C1086"/>
    <w:rsid w:val="001C6136"/>
    <w:rsid w:val="00207762"/>
    <w:rsid w:val="002143C9"/>
    <w:rsid w:val="00215662"/>
    <w:rsid w:val="0025105F"/>
    <w:rsid w:val="00256377"/>
    <w:rsid w:val="00280345"/>
    <w:rsid w:val="00287BA8"/>
    <w:rsid w:val="002B18B3"/>
    <w:rsid w:val="002B273F"/>
    <w:rsid w:val="002C7154"/>
    <w:rsid w:val="002E2AA5"/>
    <w:rsid w:val="003006BA"/>
    <w:rsid w:val="00311164"/>
    <w:rsid w:val="003140D2"/>
    <w:rsid w:val="003309ED"/>
    <w:rsid w:val="0034036E"/>
    <w:rsid w:val="003654BE"/>
    <w:rsid w:val="00385315"/>
    <w:rsid w:val="00387F2A"/>
    <w:rsid w:val="003943BE"/>
    <w:rsid w:val="00395CCD"/>
    <w:rsid w:val="003D05D8"/>
    <w:rsid w:val="00451B9A"/>
    <w:rsid w:val="00485298"/>
    <w:rsid w:val="004B5B04"/>
    <w:rsid w:val="00501DB4"/>
    <w:rsid w:val="00504C47"/>
    <w:rsid w:val="00517DF7"/>
    <w:rsid w:val="0052261C"/>
    <w:rsid w:val="00524966"/>
    <w:rsid w:val="00562AD5"/>
    <w:rsid w:val="00570D35"/>
    <w:rsid w:val="00593EBE"/>
    <w:rsid w:val="005A03E3"/>
    <w:rsid w:val="00616DB8"/>
    <w:rsid w:val="00627444"/>
    <w:rsid w:val="00627EE9"/>
    <w:rsid w:val="00685F70"/>
    <w:rsid w:val="006B24AF"/>
    <w:rsid w:val="006C5C48"/>
    <w:rsid w:val="006D7AAC"/>
    <w:rsid w:val="00707D9B"/>
    <w:rsid w:val="00726279"/>
    <w:rsid w:val="00765ADE"/>
    <w:rsid w:val="007F09F4"/>
    <w:rsid w:val="008078D9"/>
    <w:rsid w:val="008702F3"/>
    <w:rsid w:val="008C20EB"/>
    <w:rsid w:val="008D413F"/>
    <w:rsid w:val="008E08C9"/>
    <w:rsid w:val="00901D13"/>
    <w:rsid w:val="00903838"/>
    <w:rsid w:val="00911B83"/>
    <w:rsid w:val="009153C5"/>
    <w:rsid w:val="0093584C"/>
    <w:rsid w:val="00950DF8"/>
    <w:rsid w:val="009562EE"/>
    <w:rsid w:val="00957BB0"/>
    <w:rsid w:val="009D54C6"/>
    <w:rsid w:val="009D7A00"/>
    <w:rsid w:val="009E2787"/>
    <w:rsid w:val="009F306E"/>
    <w:rsid w:val="00A023B9"/>
    <w:rsid w:val="00A57719"/>
    <w:rsid w:val="00A63B0C"/>
    <w:rsid w:val="00A71EBE"/>
    <w:rsid w:val="00AD4951"/>
    <w:rsid w:val="00AF2444"/>
    <w:rsid w:val="00AF3C35"/>
    <w:rsid w:val="00B249E5"/>
    <w:rsid w:val="00B34CB6"/>
    <w:rsid w:val="00B41BA9"/>
    <w:rsid w:val="00B6256A"/>
    <w:rsid w:val="00B723A0"/>
    <w:rsid w:val="00B75614"/>
    <w:rsid w:val="00BA6617"/>
    <w:rsid w:val="00BD386A"/>
    <w:rsid w:val="00BE20D3"/>
    <w:rsid w:val="00BE20D5"/>
    <w:rsid w:val="00BE7733"/>
    <w:rsid w:val="00BF7B62"/>
    <w:rsid w:val="00C2300C"/>
    <w:rsid w:val="00CC65F7"/>
    <w:rsid w:val="00CE00FA"/>
    <w:rsid w:val="00CE1CE5"/>
    <w:rsid w:val="00D07C57"/>
    <w:rsid w:val="00D10B85"/>
    <w:rsid w:val="00D26FBC"/>
    <w:rsid w:val="00D37C7C"/>
    <w:rsid w:val="00D4530A"/>
    <w:rsid w:val="00D470B7"/>
    <w:rsid w:val="00D812BC"/>
    <w:rsid w:val="00DD3ECF"/>
    <w:rsid w:val="00DF2FC6"/>
    <w:rsid w:val="00E258FB"/>
    <w:rsid w:val="00E34C26"/>
    <w:rsid w:val="00E4583C"/>
    <w:rsid w:val="00E50C77"/>
    <w:rsid w:val="00E82877"/>
    <w:rsid w:val="00E915A3"/>
    <w:rsid w:val="00E97F7F"/>
    <w:rsid w:val="00EA3887"/>
    <w:rsid w:val="00ED060F"/>
    <w:rsid w:val="00ED4BAE"/>
    <w:rsid w:val="00F1195C"/>
    <w:rsid w:val="00F947FB"/>
    <w:rsid w:val="00FB3405"/>
    <w:rsid w:val="00FB3609"/>
    <w:rsid w:val="00FC0D8B"/>
    <w:rsid w:val="00FC1F5E"/>
    <w:rsid w:val="00FC4C3C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0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56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63B0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7444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Raya</cp:lastModifiedBy>
  <cp:revision>3</cp:revision>
  <cp:lastPrinted>2006-02-14T21:33:00Z</cp:lastPrinted>
  <dcterms:created xsi:type="dcterms:W3CDTF">2014-12-14T18:56:00Z</dcterms:created>
  <dcterms:modified xsi:type="dcterms:W3CDTF">2014-12-14T18:58:00Z</dcterms:modified>
</cp:coreProperties>
</file>